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er1.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media/image2.png" ContentType="image/png"/>
  <Override PartName="/word/media/image3.png" ContentType="image/pn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tabs>
          <w:tab w:val="clear" w:pos="708"/>
          <w:tab w:val="left" w:pos="0" w:leader="none"/>
        </w:tabs>
        <w:spacing w:lineRule="auto" w:line="252"/>
        <w:jc w:val="center"/>
        <w:rPr>
          <w:rFonts w:ascii="Arial" w:hAnsi="Arial" w:cs="Arial"/>
          <w:b/>
          <w:b/>
          <w:bCs/>
          <w:sz w:val="26"/>
          <w:szCs w:val="26"/>
        </w:rPr>
      </w:pPr>
      <w:r>
        <w:rPr>
          <w:rFonts w:cs="Arial" w:ascii="Arial" w:hAnsi="Arial"/>
          <w:b/>
          <w:bCs/>
          <w:sz w:val="26"/>
          <w:szCs w:val="26"/>
        </w:rPr>
        <w:t>IL VIAGGIO AI TEMPI DELL’INTELLIGENZA ARTIFICIALE</w:t>
        <w:br/>
        <w:t>IL FUTURO DEL TURISMO SI PRESENTA A BTO 2023</w:t>
      </w:r>
    </w:p>
    <w:p>
      <w:pPr>
        <w:pStyle w:val="Normal"/>
        <w:spacing w:lineRule="auto" w:line="252" w:before="0" w:after="120"/>
        <w:jc w:val="center"/>
        <w:rPr>
          <w:rFonts w:ascii="Arial" w:hAnsi="Arial" w:cs="Arial"/>
          <w:b/>
          <w:b/>
          <w:bCs/>
          <w:sz w:val="26"/>
          <w:szCs w:val="26"/>
          <w14:textOutline w14:w="0" w14:cap="flat" w14:cmpd="sng" w14:algn="ctr">
            <w14:noFill/>
            <w14:prstDash w14:val="solid"/>
            <w14:bevel/>
          </w14:textOutline>
        </w:rPr>
      </w:pPr>
      <w:r>
        <w:rPr>
          <w:rFonts w:cs="Arial" w:ascii="Arial" w:hAnsi="Arial"/>
          <w:b/>
          <w:bCs/>
          <w:sz w:val="26"/>
          <w:szCs w:val="26"/>
          <w14:textOutline w14:w="0" w14:cap="flat" w14:cmpd="sng" w14:algn="ctr">
            <w14:noFill/>
            <w14:prstDash w14:val="solid"/>
            <w14:bevel/>
          </w14:textOutline>
        </w:rPr>
        <w:t>LA 15ª EDIZIONE ALLA LEOPOLDA DI FIRENZE IL 22 E 23 NOVEMBRE</w:t>
      </w:r>
    </w:p>
    <w:p>
      <w:pPr>
        <w:pStyle w:val="Normal"/>
        <w:jc w:val="center"/>
        <w:rPr>
          <w:rFonts w:ascii="Arial" w:hAnsi="Arial" w:cs="Arial"/>
          <w:b/>
          <w:b/>
          <w:bCs/>
          <w:i/>
          <w:i/>
          <w:iCs/>
          <w:sz w:val="21"/>
          <w:szCs w:val="21"/>
          <w14:textOutline w14:w="0" w14:cap="flat" w14:cmpd="sng" w14:algn="ctr">
            <w14:noFill/>
            <w14:prstDash w14:val="solid"/>
            <w14:bevel/>
          </w14:textOutline>
        </w:rPr>
      </w:pPr>
      <w:r>
        <w:rPr>
          <w:rFonts w:cs="Arial" w:ascii="Arial" w:hAnsi="Arial"/>
          <w:b/>
          <w:bCs/>
          <w:i/>
          <w:iCs/>
          <w:sz w:val="21"/>
          <w:szCs w:val="21"/>
          <w14:textOutline w14:w="0" w14:cap="flat" w14:cmpd="sng" w14:algn="ctr">
            <w14:noFill/>
            <w14:prstDash w14:val="solid"/>
            <w14:bevel/>
          </w14:textOutline>
        </w:rPr>
        <w:t>L’intelligenza artificiale per misurare il sentiment e rispondere alle richieste dei clienti, il ritorno del turismo asiatico, il predominio dei boomers tra i viaggiatori, il sommelier virtuale in grado di rilevare anche la più sfumata delle note aromatiche: oltre 100 eventi per intercettare trend e novità in tema di Destination, Digital Strategy, Food &amp; Wine e Hospitality insieme agli esperti di settore</w:t>
      </w:r>
    </w:p>
    <w:p>
      <w:pPr>
        <w:pStyle w:val="Normal"/>
        <w:spacing w:lineRule="auto" w:line="192"/>
        <w:jc w:val="both"/>
        <w:rPr>
          <w:rFonts w:ascii="Arial" w:hAnsi="Arial" w:cs="Arial"/>
          <w:b/>
          <w:b/>
          <w:bCs/>
          <w:i/>
          <w:i/>
          <w:iCs/>
          <w:sz w:val="21"/>
          <w:szCs w:val="21"/>
          <w14:textOutline w14:w="0" w14:cap="flat" w14:cmpd="sng" w14:algn="ctr">
            <w14:noFill/>
            <w14:prstDash w14:val="solid"/>
            <w14:bevel/>
          </w14:textOutline>
        </w:rPr>
      </w:pPr>
      <w:r>
        <w:rPr>
          <w:rFonts w:cs="Arial" w:ascii="Arial" w:hAnsi="Arial"/>
          <w:b/>
          <w:bCs/>
          <w:i/>
          <w:iCs/>
          <w:sz w:val="21"/>
          <w:szCs w:val="21"/>
          <w14:textOutline w14:w="0" w14:cap="flat" w14:cmpd="sng" w14:algn="ctr">
            <w14:noFill/>
            <w14:prstDash w14:val="solid"/>
            <w14:bevel/>
          </w14:textOutline>
        </w:rPr>
      </w:r>
    </w:p>
    <w:p>
      <w:pPr>
        <w:pStyle w:val="Normal"/>
        <w:jc w:val="both"/>
        <w:rPr>
          <w:rFonts w:ascii="Arial" w:hAnsi="Arial" w:cs="Arial"/>
          <w:b/>
          <w:b/>
          <w:bCs/>
          <w:sz w:val="20"/>
          <w:szCs w:val="20"/>
          <w14:textOutline w14:w="0" w14:cap="flat" w14:cmpd="sng" w14:algn="ctr">
            <w14:noFill/>
            <w14:prstDash w14:val="solid"/>
            <w14:bevel/>
          </w14:textOutline>
        </w:rPr>
      </w:pPr>
      <w:r>
        <w:rPr>
          <w:rFonts w:cs="Arial" w:ascii="Arial" w:hAnsi="Arial"/>
          <w:i/>
          <w:iCs/>
          <w:sz w:val="20"/>
          <w:szCs w:val="20"/>
          <w14:textOutline w14:w="0" w14:cap="flat" w14:cmpd="sng" w14:algn="ctr">
            <w14:noFill/>
            <w14:prstDash w14:val="solid"/>
            <w14:bevel/>
          </w14:textOutline>
        </w:rPr>
        <w:t xml:space="preserve">Firenze, 13 novembre 2023 – </w:t>
      </w:r>
      <w:r>
        <w:rPr>
          <w:rFonts w:cs="Arial" w:ascii="Arial" w:hAnsi="Arial"/>
          <w:sz w:val="20"/>
          <w:szCs w:val="20"/>
          <w14:textOutline w14:w="0" w14:cap="flat" w14:cmpd="sng" w14:algn="ctr">
            <w14:noFill/>
            <w14:prstDash w14:val="solid"/>
            <w14:bevel/>
          </w14:textOutline>
        </w:rPr>
        <w:t xml:space="preserve">Come l’Intelligenza Artificiale cambierà l’esperienza di viaggio e l’organizzazione dei sevizi turistici mantenendo centrale il fattore umano? Questo sarà il filo rosso di </w:t>
      </w:r>
      <w:r>
        <w:rPr>
          <w:rFonts w:cs="Arial" w:ascii="Arial" w:hAnsi="Arial"/>
          <w:b/>
          <w:bCs/>
          <w:sz w:val="20"/>
          <w:szCs w:val="20"/>
          <w14:textOutline w14:w="0" w14:cap="flat" w14:cmpd="sng" w14:algn="ctr">
            <w14:noFill/>
            <w14:prstDash w14:val="solid"/>
            <w14:bevel/>
          </w14:textOutline>
        </w:rPr>
        <w:t>BTO – Be Travel Onlife 2023</w:t>
      </w:r>
      <w:r>
        <w:rPr>
          <w:rFonts w:cs="Arial" w:ascii="Arial" w:hAnsi="Arial"/>
          <w:sz w:val="20"/>
          <w:szCs w:val="20"/>
          <w14:textOutline w14:w="0" w14:cap="flat" w14:cmpd="sng" w14:algn="ctr">
            <w14:noFill/>
            <w14:prstDash w14:val="solid"/>
            <w14:bevel/>
          </w14:textOutline>
        </w:rPr>
        <w:t xml:space="preserve">, manifestazione leader in Italia dedicata all’innovazione tecnologica nel settore del turismo. </w:t>
      </w:r>
      <w:r>
        <w:rPr>
          <w:rFonts w:cs="Arial" w:ascii="Arial" w:hAnsi="Arial"/>
          <w:b/>
          <w:bCs/>
          <w:sz w:val="20"/>
          <w:szCs w:val="20"/>
          <w14:textOutline w14:w="0" w14:cap="flat" w14:cmpd="sng" w14:algn="ctr">
            <w14:noFill/>
            <w14:prstDash w14:val="solid"/>
            <w14:bevel/>
          </w14:textOutline>
        </w:rPr>
        <w:t>SAPIENS meet AI</w:t>
      </w:r>
      <w:r>
        <w:rPr>
          <w:rFonts w:cs="Arial" w:ascii="Arial" w:hAnsi="Arial"/>
          <w:sz w:val="20"/>
          <w:szCs w:val="20"/>
          <w14:textOutline w14:w="0" w14:cap="flat" w14:cmpd="sng" w14:algn="ctr">
            <w14:noFill/>
            <w14:prstDash w14:val="solid"/>
            <w14:bevel/>
          </w14:textOutline>
        </w:rPr>
        <w:t xml:space="preserve"> è, infatti, il </w:t>
      </w:r>
      <w:r>
        <w:rPr>
          <w:rFonts w:cs="Arial" w:ascii="Arial" w:hAnsi="Arial"/>
          <w:b/>
          <w:bCs/>
          <w:sz w:val="20"/>
          <w:szCs w:val="20"/>
          <w14:textOutline w14:w="0" w14:cap="flat" w14:cmpd="sng" w14:algn="ctr">
            <w14:noFill/>
            <w14:prstDash w14:val="solid"/>
            <w14:bevel/>
          </w14:textOutline>
        </w:rPr>
        <w:t xml:space="preserve">tema </w:t>
      </w:r>
      <w:r>
        <w:rPr>
          <w:rFonts w:cs="Arial" w:ascii="Arial" w:hAnsi="Arial"/>
          <w:sz w:val="20"/>
          <w:szCs w:val="20"/>
          <w14:textOutline w14:w="0" w14:cap="flat" w14:cmpd="sng" w14:algn="ctr">
            <w14:noFill/>
            <w14:prstDash w14:val="solid"/>
            <w14:bevel/>
          </w14:textOutline>
        </w:rPr>
        <w:t>di questa</w:t>
      </w:r>
      <w:r>
        <w:rPr>
          <w:rFonts w:cs="Arial" w:ascii="Arial" w:hAnsi="Arial"/>
          <w:b/>
          <w:bCs/>
          <w:sz w:val="20"/>
          <w:szCs w:val="20"/>
          <w14:textOutline w14:w="0" w14:cap="flat" w14:cmpd="sng" w14:algn="ctr">
            <w14:noFill/>
            <w14:prstDash w14:val="solid"/>
            <w14:bevel/>
          </w14:textOutline>
        </w:rPr>
        <w:t xml:space="preserve"> quindicesima edizione: </w:t>
      </w:r>
      <w:r>
        <w:rPr>
          <w:rFonts w:cs="Arial" w:ascii="Arial" w:hAnsi="Arial"/>
          <w:sz w:val="20"/>
          <w:szCs w:val="20"/>
          <w14:textOutline w14:w="0" w14:cap="flat" w14:cmpd="sng" w14:algn="ctr">
            <w14:noFill/>
            <w14:prstDash w14:val="solid"/>
            <w14:bevel/>
          </w14:textOutline>
        </w:rPr>
        <w:t xml:space="preserve">l’appuntamento è alla </w:t>
      </w:r>
      <w:r>
        <w:rPr>
          <w:rFonts w:cs="Arial" w:ascii="Arial" w:hAnsi="Arial"/>
          <w:b/>
          <w:bCs/>
          <w:sz w:val="20"/>
          <w:szCs w:val="20"/>
          <w14:textOutline w14:w="0" w14:cap="flat" w14:cmpd="sng" w14:algn="ctr">
            <w14:noFill/>
            <w14:prstDash w14:val="solid"/>
            <w14:bevel/>
          </w14:textOutline>
        </w:rPr>
        <w:t>Stazione Leopolda</w:t>
      </w:r>
      <w:r>
        <w:rPr>
          <w:rFonts w:cs="Arial" w:ascii="Arial" w:hAnsi="Arial"/>
          <w:sz w:val="20"/>
          <w:szCs w:val="20"/>
          <w14:textOutline w14:w="0" w14:cap="flat" w14:cmpd="sng" w14:algn="ctr">
            <w14:noFill/>
            <w14:prstDash w14:val="solid"/>
            <w14:bevel/>
          </w14:textOutline>
        </w:rPr>
        <w:t xml:space="preserve"> di Firenze </w:t>
      </w:r>
      <w:r>
        <w:rPr>
          <w:rFonts w:cs="Arial" w:ascii="Arial" w:hAnsi="Arial"/>
          <w:b/>
          <w:bCs/>
          <w:sz w:val="20"/>
          <w:szCs w:val="20"/>
          <w14:textOutline w14:w="0" w14:cap="flat" w14:cmpd="sng" w14:algn="ctr">
            <w14:noFill/>
            <w14:prstDash w14:val="solid"/>
            <w14:bevel/>
          </w14:textOutline>
        </w:rPr>
        <w:t>il 22 e 23 novembre con oltre 100 eventi</w:t>
      </w:r>
      <w:r>
        <w:rPr>
          <w:rFonts w:cs="Arial" w:ascii="Arial" w:hAnsi="Arial"/>
          <w:sz w:val="20"/>
          <w:szCs w:val="20"/>
          <w14:textOutline w14:w="0" w14:cap="flat" w14:cmpd="sng" w14:algn="ctr">
            <w14:noFill/>
            <w14:prstDash w14:val="solid"/>
            <w14:bevel/>
          </w14:textOutline>
        </w:rPr>
        <w:t xml:space="preserve"> che vedranno confrontarsi i maggiori esperti del settore tra approfondimenti, seminari, workshop, contaminazioni e speech futuristici, per conoscere le nuove tendenze tecnologiche applicate al travel, declinate nei </w:t>
      </w:r>
      <w:r>
        <w:rPr>
          <w:rFonts w:cs="Arial" w:ascii="Arial" w:hAnsi="Arial"/>
          <w:b/>
          <w:bCs/>
          <w:sz w:val="20"/>
          <w:szCs w:val="20"/>
          <w14:textOutline w14:w="0" w14:cap="flat" w14:cmpd="sng" w14:algn="ctr">
            <w14:noFill/>
            <w14:prstDash w14:val="solid"/>
            <w14:bevel/>
          </w14:textOutline>
        </w:rPr>
        <w:t>4 topic</w:t>
      </w:r>
      <w:r>
        <w:rPr>
          <w:rFonts w:cs="Arial" w:ascii="Arial" w:hAnsi="Arial"/>
          <w:sz w:val="20"/>
          <w:szCs w:val="20"/>
          <w14:textOutline w14:w="0" w14:cap="flat" w14:cmpd="sng" w14:algn="ctr">
            <w14:noFill/>
            <w14:prstDash w14:val="solid"/>
            <w14:bevel/>
          </w14:textOutline>
        </w:rPr>
        <w:t xml:space="preserve">: </w:t>
      </w:r>
      <w:r>
        <w:rPr>
          <w:rFonts w:cs="Arial" w:ascii="Arial" w:hAnsi="Arial"/>
          <w:b/>
          <w:bCs/>
          <w:sz w:val="20"/>
          <w:szCs w:val="20"/>
          <w14:textOutline w14:w="0" w14:cap="flat" w14:cmpd="sng" w14:algn="ctr">
            <w14:noFill/>
            <w14:prstDash w14:val="solid"/>
            <w14:bevel/>
          </w14:textOutline>
        </w:rPr>
        <w:t xml:space="preserve">Destination, Digital Strategy, Food &amp;Wine Tourism </w:t>
      </w:r>
      <w:r>
        <w:rPr>
          <w:rFonts w:cs="Arial" w:ascii="Arial" w:hAnsi="Arial"/>
          <w:sz w:val="20"/>
          <w:szCs w:val="20"/>
          <w14:textOutline w14:w="0" w14:cap="flat" w14:cmpd="sng" w14:algn="ctr">
            <w14:noFill/>
            <w14:prstDash w14:val="solid"/>
            <w14:bevel/>
          </w14:textOutline>
        </w:rPr>
        <w:t>e</w:t>
      </w:r>
      <w:r>
        <w:rPr>
          <w:rFonts w:cs="Arial" w:ascii="Arial" w:hAnsi="Arial"/>
          <w:b/>
          <w:bCs/>
          <w:sz w:val="20"/>
          <w:szCs w:val="20"/>
          <w14:textOutline w14:w="0" w14:cap="flat" w14:cmpd="sng" w14:algn="ctr">
            <w14:noFill/>
            <w14:prstDash w14:val="solid"/>
            <w14:bevel/>
          </w14:textOutline>
        </w:rPr>
        <w:t xml:space="preserve"> Hospitality. BTO – Be Travel Onlife</w:t>
      </w:r>
      <w:r>
        <w:rPr>
          <w:rFonts w:cs="Arial" w:ascii="Arial" w:hAnsi="Arial"/>
          <w:sz w:val="20"/>
          <w:szCs w:val="20"/>
          <w14:textOutline w14:w="0" w14:cap="flat" w14:cmpd="sng" w14:algn="ctr">
            <w14:noFill/>
            <w14:prstDash w14:val="solid"/>
            <w14:bevel/>
          </w14:textOutline>
        </w:rPr>
        <w:t xml:space="preserve"> è un evento di </w:t>
      </w:r>
      <w:r>
        <w:rPr>
          <w:rFonts w:cs="Arial" w:ascii="Arial" w:hAnsi="Arial"/>
          <w:b/>
          <w:bCs/>
          <w:sz w:val="20"/>
          <w:szCs w:val="20"/>
          <w14:textOutline w14:w="0" w14:cap="flat" w14:cmpd="sng" w14:algn="ctr">
            <w14:noFill/>
            <w14:prstDash w14:val="solid"/>
            <w14:bevel/>
          </w14:textOutline>
        </w:rPr>
        <w:t>Regione Toscana</w:t>
      </w:r>
      <w:r>
        <w:rPr>
          <w:rFonts w:cs="Arial" w:ascii="Arial" w:hAnsi="Arial"/>
          <w:sz w:val="20"/>
          <w:szCs w:val="20"/>
          <w14:textOutline w14:w="0" w14:cap="flat" w14:cmpd="sng" w14:algn="ctr">
            <w14:noFill/>
            <w14:prstDash w14:val="solid"/>
            <w14:bevel/>
          </w14:textOutline>
        </w:rPr>
        <w:t xml:space="preserve"> e </w:t>
      </w:r>
      <w:r>
        <w:rPr>
          <w:rFonts w:cs="Arial" w:ascii="Arial" w:hAnsi="Arial"/>
          <w:b/>
          <w:bCs/>
          <w:sz w:val="20"/>
          <w:szCs w:val="20"/>
          <w14:textOutline w14:w="0" w14:cap="flat" w14:cmpd="sng" w14:algn="ctr">
            <w14:noFill/>
            <w14:prstDash w14:val="solid"/>
            <w14:bevel/>
          </w14:textOutline>
        </w:rPr>
        <w:t>Camera di Commercio di Firenze</w:t>
      </w:r>
      <w:r>
        <w:rPr>
          <w:rFonts w:cs="Arial" w:ascii="Arial" w:hAnsi="Arial"/>
          <w:sz w:val="20"/>
          <w:szCs w:val="20"/>
          <w14:textOutline w14:w="0" w14:cap="flat" w14:cmpd="sng" w14:algn="ctr">
            <w14:noFill/>
            <w14:prstDash w14:val="solid"/>
            <w14:bevel/>
          </w14:textOutline>
        </w:rPr>
        <w:t xml:space="preserve">, da sempre attente alla competitività del turismo connesso alla sfida dell’innovazione digitale. L’organizzazione è affidata alle tre agenzie regionali del settore e delle imprese del turismo, </w:t>
      </w:r>
      <w:r>
        <w:rPr>
          <w:rFonts w:cs="Arial" w:ascii="Arial" w:hAnsi="Arial"/>
          <w:b/>
          <w:bCs/>
          <w:sz w:val="20"/>
          <w:szCs w:val="20"/>
          <w14:textOutline w14:w="0" w14:cap="flat" w14:cmpd="sng" w14:algn="ctr">
            <w14:noFill/>
            <w14:prstDash w14:val="solid"/>
            <w14:bevel/>
          </w14:textOutline>
        </w:rPr>
        <w:t>Toscana Promozione Turistica, PromoFirenze</w:t>
      </w:r>
      <w:r>
        <w:rPr>
          <w:rFonts w:cs="Arial" w:ascii="Arial" w:hAnsi="Arial"/>
          <w:sz w:val="20"/>
          <w:szCs w:val="20"/>
          <w14:textOutline w14:w="0" w14:cap="flat" w14:cmpd="sng" w14:algn="ctr">
            <w14:noFill/>
            <w14:prstDash w14:val="solid"/>
            <w14:bevel/>
          </w14:textOutline>
        </w:rPr>
        <w:t xml:space="preserve"> e </w:t>
      </w:r>
      <w:r>
        <w:rPr>
          <w:rFonts w:cs="Arial" w:ascii="Arial" w:hAnsi="Arial"/>
          <w:b/>
          <w:bCs/>
          <w:sz w:val="20"/>
          <w:szCs w:val="20"/>
          <w14:textOutline w14:w="0" w14:cap="flat" w14:cmpd="sng" w14:algn="ctr">
            <w14:noFill/>
            <w14:prstDash w14:val="solid"/>
            <w14:bevel/>
          </w14:textOutline>
        </w:rPr>
        <w:t>Fondazione Sistema Toscana.</w:t>
      </w:r>
    </w:p>
    <w:p>
      <w:pPr>
        <w:pStyle w:val="Normal"/>
        <w:spacing w:lineRule="auto" w:line="192"/>
        <w:jc w:val="both"/>
        <w:rPr>
          <w:rFonts w:ascii="Arial" w:hAnsi="Arial" w:cs="Arial"/>
          <w:b/>
          <w:b/>
          <w:bCs/>
          <w:i/>
          <w:i/>
          <w:iCs/>
          <w:sz w:val="21"/>
          <w:szCs w:val="21"/>
          <w14:textOutline w14:w="0" w14:cap="flat" w14:cmpd="sng" w14:algn="ctr">
            <w14:noFill/>
            <w14:prstDash w14:val="solid"/>
            <w14:bevel/>
          </w14:textOutline>
        </w:rPr>
      </w:pPr>
      <w:r>
        <w:rPr>
          <w:rFonts w:cs="Arial" w:ascii="Arial" w:hAnsi="Arial"/>
          <w:b/>
          <w:bCs/>
          <w:i/>
          <w:iCs/>
          <w:sz w:val="21"/>
          <w:szCs w:val="21"/>
          <w14:textOutline w14:w="0" w14:cap="flat" w14:cmpd="sng" w14:algn="ctr">
            <w14:noFill/>
            <w14:prstDash w14:val="solid"/>
            <w14:bevel/>
          </w14:textOutline>
        </w:rPr>
      </w:r>
    </w:p>
    <w:p>
      <w:pPr>
        <w:pStyle w:val="Normal"/>
        <w:spacing w:before="0" w:after="120"/>
        <w:jc w:val="both"/>
        <w:rPr>
          <w:rFonts w:ascii="Arial" w:hAnsi="Arial" w:eastAsia="Helvetica Neue" w:cs="Arial"/>
          <w:iCs/>
          <w:sz w:val="20"/>
          <w:szCs w:val="20"/>
        </w:rPr>
      </w:pPr>
      <w:r>
        <w:rPr>
          <w:rFonts w:cs="Arial" w:ascii="Arial" w:hAnsi="Arial"/>
          <w:sz w:val="20"/>
          <w:szCs w:val="20"/>
          <w14:textOutline w14:w="0" w14:cap="flat" w14:cmpd="sng" w14:algn="ctr">
            <w14:noFill/>
            <w14:prstDash w14:val="solid"/>
            <w14:bevel/>
          </w14:textOutline>
        </w:rPr>
        <w:t xml:space="preserve">Tra gli interventi più attesi quelli di </w:t>
      </w:r>
      <w:r>
        <w:rPr>
          <w:rFonts w:cs="Arial" w:ascii="Arial" w:hAnsi="Arial"/>
          <w:b/>
          <w:bCs/>
          <w:sz w:val="20"/>
          <w:szCs w:val="20"/>
          <w14:textOutline w14:w="0" w14:cap="flat" w14:cmpd="sng" w14:algn="ctr">
            <w14:noFill/>
            <w14:prstDash w14:val="solid"/>
            <w14:bevel/>
          </w14:textOutline>
        </w:rPr>
        <w:t>Federico Faggin</w:t>
      </w:r>
      <w:r>
        <w:rPr>
          <w:rFonts w:cs="Arial" w:ascii="Arial" w:hAnsi="Arial"/>
          <w:sz w:val="20"/>
          <w:szCs w:val="20"/>
          <w14:textOutline w14:w="0" w14:cap="flat" w14:cmpd="sng" w14:algn="ctr">
            <w14:noFill/>
            <w14:prstDash w14:val="solid"/>
            <w14:bevel/>
          </w14:textOutline>
        </w:rPr>
        <w:t xml:space="preserve">, “l’inventore” del microchip, </w:t>
      </w:r>
      <w:r>
        <w:rPr>
          <w:rFonts w:cs="Arial" w:ascii="Arial" w:hAnsi="Arial"/>
          <w:b/>
          <w:bCs/>
          <w:sz w:val="20"/>
          <w:szCs w:val="20"/>
          <w14:textOutline w14:w="0" w14:cap="flat" w14:cmpd="sng" w14:algn="ctr">
            <w14:noFill/>
            <w14:prstDash w14:val="solid"/>
            <w14:bevel/>
          </w14:textOutline>
        </w:rPr>
        <w:t>Stefano Quintarelli</w:t>
      </w:r>
      <w:r>
        <w:rPr>
          <w:rFonts w:cs="Arial" w:ascii="Arial" w:hAnsi="Arial"/>
          <w:sz w:val="20"/>
          <w:szCs w:val="20"/>
          <w14:textOutline w14:w="0" w14:cap="flat" w14:cmpd="sng" w14:algn="ctr">
            <w14:noFill/>
            <w14:prstDash w14:val="solid"/>
            <w14:bevel/>
          </w14:textOutline>
        </w:rPr>
        <w:t>, imprenditore informatico, padre dello SPID e fondatore di I.NET – il primo Internet Provider professionale italiano,</w:t>
      </w:r>
      <w:r>
        <w:rPr>
          <w:rFonts w:cs="Arial" w:ascii="Arial" w:hAnsi="Arial"/>
          <w:sz w:val="20"/>
          <w:szCs w:val="20"/>
        </w:rPr>
        <w:t xml:space="preserve"> </w:t>
      </w:r>
      <w:r>
        <w:rPr>
          <w:rFonts w:cs="Arial" w:ascii="Arial" w:hAnsi="Arial"/>
          <w:b/>
          <w:bCs/>
          <w:sz w:val="20"/>
          <w:szCs w:val="20"/>
          <w14:textOutline w14:w="0" w14:cap="flat" w14:cmpd="sng" w14:algn="ctr">
            <w14:noFill/>
            <w14:prstDash w14:val="solid"/>
            <w14:bevel/>
          </w14:textOutline>
        </w:rPr>
        <w:t xml:space="preserve">Louis Rosenberg, </w:t>
      </w:r>
      <w:r>
        <w:rPr>
          <w:rFonts w:cs="Arial" w:ascii="Arial" w:hAnsi="Arial"/>
          <w:sz w:val="20"/>
          <w:szCs w:val="20"/>
          <w14:textOutline w14:w="0" w14:cap="flat" w14:cmpd="sng" w14:algn="ctr">
            <w14:noFill/>
            <w14:prstDash w14:val="solid"/>
            <w14:bevel/>
          </w14:textOutline>
        </w:rPr>
        <w:t xml:space="preserve">pioniere della realtà virtuale e aumentata con NASA e Nasdaq nel curriculum e poi </w:t>
      </w:r>
      <w:r>
        <w:rPr>
          <w:rFonts w:cs="Arial" w:ascii="Arial" w:hAnsi="Arial"/>
          <w:b/>
          <w:bCs/>
          <w:sz w:val="20"/>
          <w:szCs w:val="20"/>
          <w14:textOutline w14:w="0" w14:cap="flat" w14:cmpd="sng" w14:algn="ctr">
            <w14:noFill/>
            <w14:prstDash w14:val="solid"/>
            <w14:bevel/>
          </w14:textOutline>
        </w:rPr>
        <w:t>Mafe de Baggis</w:t>
      </w:r>
      <w:r>
        <w:rPr>
          <w:rFonts w:cs="Arial" w:ascii="Arial" w:hAnsi="Arial"/>
          <w:sz w:val="20"/>
          <w:szCs w:val="20"/>
          <w14:textOutline w14:w="0" w14:cap="flat" w14:cmpd="sng" w14:algn="ctr">
            <w14:noFill/>
            <w14:prstDash w14:val="solid"/>
            <w14:bevel/>
          </w14:textOutline>
        </w:rPr>
        <w:t xml:space="preserve">, esperta di media digitali e AI, </w:t>
      </w:r>
      <w:r>
        <w:rPr>
          <w:rFonts w:cs="Arial" w:ascii="Arial" w:hAnsi="Arial"/>
          <w:b/>
          <w:bCs/>
          <w:sz w:val="20"/>
          <w:szCs w:val="20"/>
          <w14:textOutline w14:w="0" w14:cap="flat" w14:cmpd="sng" w14:algn="ctr">
            <w14:noFill/>
            <w14:prstDash w14:val="solid"/>
            <w14:bevel/>
          </w14:textOutline>
        </w:rPr>
        <w:t>Amy Wei</w:t>
      </w:r>
      <w:r>
        <w:rPr>
          <w:rFonts w:cs="Arial" w:ascii="Arial" w:hAnsi="Arial"/>
          <w:sz w:val="20"/>
          <w:szCs w:val="20"/>
          <w14:textOutline w14:w="0" w14:cap="flat" w14:cmpd="sng" w14:algn="ctr">
            <w14:noFill/>
            <w14:prstDash w14:val="solid"/>
            <w14:bevel/>
          </w14:textOutline>
        </w:rPr>
        <w:t xml:space="preserve">, Senior Product Director </w:t>
      </w:r>
      <w:r>
        <w:rPr>
          <w:rFonts w:cs="Arial" w:ascii="Arial" w:hAnsi="Arial"/>
          <w:b/>
          <w:bCs/>
          <w:sz w:val="20"/>
          <w:szCs w:val="20"/>
          <w14:textOutline w14:w="0" w14:cap="flat" w14:cmpd="sng" w14:algn="ctr">
            <w14:noFill/>
            <w14:prstDash w14:val="solid"/>
            <w14:bevel/>
          </w14:textOutline>
        </w:rPr>
        <w:t>Trip.com Group</w:t>
      </w:r>
      <w:r>
        <w:rPr>
          <w:rFonts w:cs="Arial" w:ascii="Arial" w:hAnsi="Arial"/>
          <w:sz w:val="20"/>
          <w:szCs w:val="20"/>
          <w14:textOutline w14:w="0" w14:cap="flat" w14:cmpd="sng" w14:algn="ctr">
            <w14:noFill/>
            <w14:prstDash w14:val="solid"/>
            <w14:bevel/>
          </w14:textOutline>
        </w:rPr>
        <w:t xml:space="preserve"> insieme ai rappresentanti di big player del calibro di</w:t>
      </w:r>
      <w:r>
        <w:rPr>
          <w:rFonts w:cs="Arial" w:ascii="Arial" w:hAnsi="Arial"/>
          <w:b/>
          <w:bCs/>
          <w:sz w:val="20"/>
          <w:szCs w:val="20"/>
          <w14:textOutline w14:w="0" w14:cap="flat" w14:cmpd="sng" w14:algn="ctr">
            <w14:noFill/>
            <w14:prstDash w14:val="solid"/>
            <w14:bevel/>
          </w14:textOutline>
        </w:rPr>
        <w:t xml:space="preserve"> Booking.com, Microsoft e Google. </w:t>
      </w:r>
      <w:r>
        <w:rPr>
          <w:rFonts w:cs="Arial" w:ascii="Arial" w:hAnsi="Arial"/>
          <w:sz w:val="20"/>
          <w:szCs w:val="20"/>
          <w14:textOutline w14:w="0" w14:cap="flat" w14:cmpd="sng" w14:algn="ctr">
            <w14:noFill/>
            <w14:prstDash w14:val="solid"/>
            <w14:bevel/>
          </w14:textOutline>
        </w:rPr>
        <w:t xml:space="preserve">Tra le novità </w:t>
      </w:r>
      <w:r>
        <w:rPr>
          <w:rFonts w:cs="Arial" w:ascii="Arial" w:hAnsi="Arial"/>
          <w:b/>
          <w:bCs/>
          <w:sz w:val="20"/>
          <w:szCs w:val="20"/>
          <w14:textOutline w14:w="0" w14:cap="flat" w14:cmpd="sng" w14:algn="ctr">
            <w14:noFill/>
            <w14:prstDash w14:val="solid"/>
            <w14:bevel/>
          </w14:textOutline>
        </w:rPr>
        <w:t>l’</w:t>
      </w:r>
      <w:r>
        <w:rPr>
          <w:rFonts w:cs="Arial" w:ascii="Arial" w:hAnsi="Arial"/>
          <w:sz w:val="20"/>
          <w:szCs w:val="20"/>
          <w14:textOutline w14:w="0" w14:cap="flat" w14:cmpd="sng" w14:algn="ctr">
            <w14:noFill/>
            <w14:prstDash w14:val="solid"/>
            <w14:bevel/>
          </w14:textOutline>
        </w:rPr>
        <w:t xml:space="preserve">innovativo progetto di </w:t>
      </w:r>
      <w:r>
        <w:rPr>
          <w:rFonts w:cs="Arial" w:ascii="Arial" w:hAnsi="Arial"/>
          <w:b/>
          <w:bCs/>
          <w:sz w:val="20"/>
          <w:szCs w:val="20"/>
          <w14:textOutline w14:w="0" w14:cap="flat" w14:cmpd="sng" w14:algn="ctr">
            <w14:noFill/>
            <w14:prstDash w14:val="solid"/>
            <w14:bevel/>
          </w14:textOutline>
        </w:rPr>
        <w:t xml:space="preserve">IBM Reasearch </w:t>
      </w:r>
      <w:r>
        <w:rPr>
          <w:rFonts w:cs="Arial" w:ascii="Arial" w:hAnsi="Arial"/>
          <w:sz w:val="20"/>
          <w:szCs w:val="20"/>
          <w14:textOutline w14:w="0" w14:cap="flat" w14:cmpd="sng" w14:algn="ctr">
            <w14:noFill/>
            <w14:prstDash w14:val="solid"/>
            <w14:bevel/>
          </w14:textOutline>
        </w:rPr>
        <w:t xml:space="preserve">chiamato Hypertaste presentato a BTO per la prima volta a un evento pubblico in Italia: una “lingua artificiale” capace di degustare il vino come il più esperto sommelier. E poi i </w:t>
      </w:r>
      <w:r>
        <w:rPr>
          <w:rFonts w:cs="Arial" w:ascii="Arial" w:hAnsi="Arial"/>
          <w:b/>
          <w:bCs/>
          <w:sz w:val="20"/>
          <w:szCs w:val="20"/>
          <w14:textOutline w14:w="0" w14:cap="flat" w14:cmpd="sng" w14:algn="ctr">
            <w14:noFill/>
            <w14:prstDash w14:val="solid"/>
            <w14:bevel/>
          </w14:textOutline>
        </w:rPr>
        <w:t>digital twin</w:t>
      </w:r>
      <w:r>
        <w:rPr>
          <w:rFonts w:cs="Arial" w:ascii="Arial" w:hAnsi="Arial"/>
          <w:sz w:val="20"/>
          <w:szCs w:val="20"/>
          <w14:textOutline w14:w="0" w14:cap="flat" w14:cmpd="sng" w14:algn="ctr">
            <w14:noFill/>
            <w14:prstDash w14:val="solid"/>
            <w14:bevel/>
          </w14:textOutline>
        </w:rPr>
        <w:t xml:space="preserve"> come Amelia per migliorare il percorso esperienziale del cliente nel settore food and wine. </w:t>
      </w:r>
      <w:r>
        <w:rPr>
          <w:rFonts w:cs="Arial" w:ascii="Arial" w:hAnsi="Arial"/>
          <w:color w:val="000000"/>
          <w:sz w:val="20"/>
          <w:szCs w:val="20"/>
        </w:rPr>
        <w:t>Un programma ricchissimo costruito dal direttore scientifico</w:t>
      </w:r>
      <w:r>
        <w:rPr>
          <w:rFonts w:cs="Arial" w:ascii="Arial" w:hAnsi="Arial"/>
          <w:b/>
          <w:bCs/>
          <w:color w:val="000000"/>
          <w:sz w:val="20"/>
          <w:szCs w:val="20"/>
        </w:rPr>
        <w:t xml:space="preserve"> Francesco Tapinassi</w:t>
      </w:r>
      <w:r>
        <w:rPr>
          <w:rFonts w:cs="Arial" w:ascii="Arial" w:hAnsi="Arial"/>
          <w:color w:val="000000"/>
          <w:sz w:val="20"/>
          <w:szCs w:val="20"/>
        </w:rPr>
        <w:t xml:space="preserve"> insieme agli 80 esperti dell’Advisory Board, per indagare i nuovi scenari delineati dai software di </w:t>
      </w:r>
      <w:r>
        <w:rPr>
          <w:rFonts w:eastAsia="Helvetica Neue" w:cs="Arial" w:ascii="Arial" w:hAnsi="Arial"/>
          <w:b/>
          <w:bCs/>
          <w:iCs/>
          <w:sz w:val="20"/>
          <w:szCs w:val="20"/>
        </w:rPr>
        <w:t xml:space="preserve">Intelligenza Artificiale, AI generativa e Chat GPT </w:t>
      </w:r>
      <w:r>
        <w:rPr>
          <w:rFonts w:eastAsia="Helvetica Neue" w:cs="Arial" w:ascii="Arial" w:hAnsi="Arial"/>
          <w:iCs/>
          <w:sz w:val="20"/>
          <w:szCs w:val="20"/>
        </w:rPr>
        <w:t xml:space="preserve">nel mondo del turismo. </w:t>
      </w:r>
    </w:p>
    <w:p>
      <w:pPr>
        <w:pStyle w:val="Normal"/>
        <w:spacing w:before="0" w:after="120"/>
        <w:jc w:val="both"/>
        <w:rPr>
          <w:rFonts w:ascii="Arial" w:hAnsi="Arial" w:eastAsia="Helvetica Neue" w:cs="Arial"/>
          <w:iCs/>
          <w:sz w:val="20"/>
          <w:szCs w:val="20"/>
        </w:rPr>
      </w:pPr>
      <w:r>
        <w:rPr>
          <w:rFonts w:eastAsia="Helvetica Neue" w:cs="Arial" w:ascii="Arial" w:hAnsi="Arial"/>
          <w:iCs/>
          <w:sz w:val="20"/>
          <w:szCs w:val="20"/>
        </w:rPr>
        <w:t xml:space="preserve">Il 22 novembre l’inaugurazione alla presenza del presidente della Regione Toscana </w:t>
      </w:r>
      <w:r>
        <w:rPr>
          <w:rFonts w:eastAsia="Helvetica Neue" w:cs="Arial" w:ascii="Arial" w:hAnsi="Arial"/>
          <w:b/>
          <w:bCs/>
          <w:iCs/>
          <w:sz w:val="20"/>
          <w:szCs w:val="20"/>
        </w:rPr>
        <w:t>Eugenio Giani</w:t>
      </w:r>
      <w:r>
        <w:rPr>
          <w:rFonts w:eastAsia="Helvetica Neue" w:cs="Arial" w:ascii="Arial" w:hAnsi="Arial"/>
          <w:iCs/>
          <w:sz w:val="20"/>
          <w:szCs w:val="20"/>
        </w:rPr>
        <w:t xml:space="preserve">, del presidente della Camera di Commercio di Firenze </w:t>
      </w:r>
      <w:r>
        <w:rPr>
          <w:rFonts w:eastAsia="Helvetica Neue" w:cs="Arial" w:ascii="Arial" w:hAnsi="Arial"/>
          <w:b/>
          <w:bCs/>
          <w:iCs/>
          <w:sz w:val="20"/>
          <w:szCs w:val="20"/>
        </w:rPr>
        <w:t>Leonardo Bassilichi</w:t>
      </w:r>
      <w:r>
        <w:rPr>
          <w:rFonts w:eastAsia="Helvetica Neue" w:cs="Arial" w:ascii="Arial" w:hAnsi="Arial"/>
          <w:iCs/>
          <w:sz w:val="20"/>
          <w:szCs w:val="20"/>
        </w:rPr>
        <w:t xml:space="preserve"> insieme agli organizzatori e alle altre istituzioni. Spazio poi a “</w:t>
      </w:r>
      <w:r>
        <w:rPr>
          <w:rFonts w:eastAsia="Helvetica Neue" w:cs="Arial" w:ascii="Arial" w:hAnsi="Arial"/>
          <w:b/>
          <w:bCs/>
          <w:iCs/>
          <w:sz w:val="20"/>
          <w:szCs w:val="20"/>
        </w:rPr>
        <w:t>Destinazione Toscana, risultati e prospettive per il 2024</w:t>
      </w:r>
      <w:r>
        <w:rPr>
          <w:rFonts w:eastAsia="Helvetica Neue" w:cs="Arial" w:ascii="Arial" w:hAnsi="Arial"/>
          <w:iCs/>
          <w:sz w:val="20"/>
          <w:szCs w:val="20"/>
        </w:rPr>
        <w:t xml:space="preserve">”, il consueto appuntamento sui risultati 2023 e i trend 2024. Partecipano </w:t>
      </w:r>
      <w:r>
        <w:rPr>
          <w:rFonts w:eastAsia="Helvetica Neue" w:cs="Arial" w:ascii="Arial" w:hAnsi="Arial"/>
          <w:b/>
          <w:bCs/>
          <w:iCs/>
          <w:sz w:val="20"/>
          <w:szCs w:val="20"/>
        </w:rPr>
        <w:t>Leonardo Marras</w:t>
      </w:r>
      <w:r>
        <w:rPr>
          <w:rFonts w:eastAsia="Helvetica Neue" w:cs="Arial" w:ascii="Arial" w:hAnsi="Arial"/>
          <w:iCs/>
          <w:sz w:val="20"/>
          <w:szCs w:val="20"/>
        </w:rPr>
        <w:t xml:space="preserve">, assessore all’economia e al turismo della Regione Toscana, </w:t>
      </w:r>
      <w:r>
        <w:rPr>
          <w:rFonts w:eastAsia="Helvetica Neue" w:cs="Arial" w:ascii="Arial" w:hAnsi="Arial"/>
          <w:b/>
          <w:bCs/>
          <w:iCs/>
          <w:sz w:val="20"/>
          <w:szCs w:val="20"/>
        </w:rPr>
        <w:t>Matteo Biffoni</w:t>
      </w:r>
      <w:r>
        <w:rPr>
          <w:rFonts w:eastAsia="Helvetica Neue" w:cs="Arial" w:ascii="Arial" w:hAnsi="Arial"/>
          <w:iCs/>
          <w:sz w:val="20"/>
          <w:szCs w:val="20"/>
        </w:rPr>
        <w:t xml:space="preserve">, presidente ANCI Toscana, </w:t>
      </w:r>
      <w:r>
        <w:rPr>
          <w:rFonts w:eastAsia="Helvetica Neue" w:cs="Arial" w:ascii="Arial" w:hAnsi="Arial"/>
          <w:b/>
          <w:bCs/>
          <w:iCs/>
          <w:sz w:val="20"/>
          <w:szCs w:val="20"/>
        </w:rPr>
        <w:t>Francesco Palumbo</w:t>
      </w:r>
      <w:r>
        <w:rPr>
          <w:rFonts w:eastAsia="Helvetica Neue" w:cs="Arial" w:ascii="Arial" w:hAnsi="Arial"/>
          <w:iCs/>
          <w:sz w:val="20"/>
          <w:szCs w:val="20"/>
        </w:rPr>
        <w:t xml:space="preserve">, direttore di Fondazione Sistema Toscana, </w:t>
      </w:r>
      <w:r>
        <w:rPr>
          <w:rFonts w:eastAsia="Helvetica Neue" w:cs="Arial" w:ascii="Arial" w:hAnsi="Arial"/>
          <w:b/>
          <w:bCs/>
          <w:iCs/>
          <w:sz w:val="20"/>
          <w:szCs w:val="20"/>
        </w:rPr>
        <w:t>Francesco Tapinassi</w:t>
      </w:r>
      <w:r>
        <w:rPr>
          <w:rFonts w:eastAsia="Helvetica Neue" w:cs="Arial" w:ascii="Arial" w:hAnsi="Arial"/>
          <w:iCs/>
          <w:sz w:val="20"/>
          <w:szCs w:val="20"/>
        </w:rPr>
        <w:t xml:space="preserve">, qui nella veste di direttore di Toscana Promozione Turistica. </w:t>
      </w:r>
    </w:p>
    <w:p>
      <w:pPr>
        <w:pStyle w:val="Normal"/>
        <w:spacing w:before="0" w:after="120"/>
        <w:jc w:val="both"/>
        <w:rPr>
          <w:rFonts w:ascii="Arial" w:hAnsi="Arial" w:cs="Arial"/>
          <w:color w:val="000000"/>
          <w:sz w:val="20"/>
          <w:szCs w:val="20"/>
          <w:highlight w:val="white"/>
        </w:rPr>
      </w:pPr>
      <w:r>
        <w:rPr>
          <w:rFonts w:cs="Arial" w:ascii="Arial" w:hAnsi="Arial"/>
          <w:color w:val="222222"/>
          <w:sz w:val="20"/>
          <w:szCs w:val="20"/>
          <w:shd w:fill="FFFFFF" w:val="clear"/>
        </w:rPr>
        <w:t>Come per la passata edizione, </w:t>
      </w:r>
      <w:r>
        <w:rPr>
          <w:rFonts w:cs="Arial" w:ascii="Arial" w:hAnsi="Arial"/>
          <w:color w:val="000000"/>
          <w:sz w:val="20"/>
          <w:szCs w:val="20"/>
          <w:shd w:fill="FFFFFF" w:val="clear"/>
        </w:rPr>
        <w:t>la Camera di Commercio di Firenze, comproprietaria del marchio BTO insieme a Regione Toscana, ha proposto in collaborazione con la propria azienda speciale PromoFirenze "</w:t>
      </w:r>
      <w:r>
        <w:rPr>
          <w:rFonts w:cs="Arial" w:ascii="Arial" w:hAnsi="Arial"/>
          <w:b/>
          <w:bCs/>
          <w:color w:val="000000"/>
          <w:sz w:val="20"/>
          <w:szCs w:val="20"/>
          <w:shd w:fill="FFFFFF" w:val="clear"/>
        </w:rPr>
        <w:t>BTO On Tour</w:t>
      </w:r>
      <w:r>
        <w:rPr>
          <w:rFonts w:cs="Arial" w:ascii="Arial" w:hAnsi="Arial"/>
          <w:color w:val="000000"/>
          <w:sz w:val="20"/>
          <w:szCs w:val="20"/>
          <w:shd w:fill="FFFFFF" w:val="clear"/>
        </w:rPr>
        <w:t>", una sorta di road-map che anticipa i temi della manifestazione sui territori particolarmente vocati al turismo, organizzando delle anteprime formative in sinergia con il sistema camerale. Le tappe di quest'anno, che hanno registrato oltre 200 presenze, sono state a </w:t>
      </w:r>
      <w:r>
        <w:rPr>
          <w:rFonts w:cs="Arial" w:ascii="Arial" w:hAnsi="Arial"/>
          <w:b/>
          <w:bCs/>
          <w:color w:val="000000"/>
          <w:sz w:val="20"/>
          <w:szCs w:val="20"/>
          <w:shd w:fill="FFFFFF" w:val="clear"/>
        </w:rPr>
        <w:t>Livigno</w:t>
      </w:r>
      <w:r>
        <w:rPr>
          <w:rFonts w:cs="Arial" w:ascii="Arial" w:hAnsi="Arial"/>
          <w:color w:val="000000"/>
          <w:sz w:val="20"/>
          <w:szCs w:val="20"/>
          <w:shd w:fill="FFFFFF" w:val="clear"/>
        </w:rPr>
        <w:t> in collaborazione con la </w:t>
      </w:r>
      <w:r>
        <w:rPr>
          <w:rFonts w:cs="Arial" w:ascii="Arial" w:hAnsi="Arial"/>
          <w:b/>
          <w:bCs/>
          <w:color w:val="000000"/>
          <w:sz w:val="20"/>
          <w:szCs w:val="20"/>
          <w:shd w:fill="FFFFFF" w:val="clear"/>
        </w:rPr>
        <w:t>Camera di commercio di Sondrio</w:t>
      </w:r>
      <w:r>
        <w:rPr>
          <w:rFonts w:cs="Arial" w:ascii="Arial" w:hAnsi="Arial"/>
          <w:color w:val="000000"/>
          <w:sz w:val="20"/>
          <w:szCs w:val="20"/>
          <w:shd w:fill="FFFFFF" w:val="clear"/>
        </w:rPr>
        <w:t>; a </w:t>
      </w:r>
      <w:r>
        <w:rPr>
          <w:rFonts w:cs="Arial" w:ascii="Arial" w:hAnsi="Arial"/>
          <w:b/>
          <w:bCs/>
          <w:color w:val="000000"/>
          <w:sz w:val="20"/>
          <w:szCs w:val="20"/>
          <w:shd w:fill="FFFFFF" w:val="clear"/>
        </w:rPr>
        <w:t>Siena</w:t>
      </w:r>
      <w:r>
        <w:rPr>
          <w:rFonts w:cs="Arial" w:ascii="Arial" w:hAnsi="Arial"/>
          <w:color w:val="000000"/>
          <w:sz w:val="20"/>
          <w:szCs w:val="20"/>
          <w:shd w:fill="FFFFFF" w:val="clear"/>
        </w:rPr>
        <w:t> in sinergia con la </w:t>
      </w:r>
      <w:r>
        <w:rPr>
          <w:rFonts w:cs="Arial" w:ascii="Arial" w:hAnsi="Arial"/>
          <w:b/>
          <w:bCs/>
          <w:color w:val="000000"/>
          <w:sz w:val="20"/>
          <w:szCs w:val="20"/>
          <w:shd w:fill="FFFFFF" w:val="clear"/>
        </w:rPr>
        <w:t>Camera di commercio di Arezzo/Siena</w:t>
      </w:r>
      <w:r>
        <w:rPr>
          <w:rFonts w:cs="Arial" w:ascii="Arial" w:hAnsi="Arial"/>
          <w:color w:val="000000"/>
          <w:sz w:val="20"/>
          <w:szCs w:val="20"/>
          <w:shd w:fill="FFFFFF" w:val="clear"/>
        </w:rPr>
        <w:t>; a </w:t>
      </w:r>
      <w:r>
        <w:rPr>
          <w:rFonts w:cs="Arial" w:ascii="Arial" w:hAnsi="Arial"/>
          <w:b/>
          <w:bCs/>
          <w:color w:val="000000"/>
          <w:sz w:val="20"/>
          <w:szCs w:val="20"/>
          <w:shd w:fill="FFFFFF" w:val="clear"/>
        </w:rPr>
        <w:t>Pietrasanta</w:t>
      </w:r>
      <w:r>
        <w:rPr>
          <w:rFonts w:cs="Arial" w:ascii="Arial" w:hAnsi="Arial"/>
          <w:color w:val="000000"/>
          <w:sz w:val="20"/>
          <w:szCs w:val="20"/>
          <w:shd w:fill="FFFFFF" w:val="clear"/>
        </w:rPr>
        <w:t> insieme a </w:t>
      </w:r>
      <w:r>
        <w:rPr>
          <w:rFonts w:cs="Arial" w:ascii="Arial" w:hAnsi="Arial"/>
          <w:b/>
          <w:bCs/>
          <w:color w:val="000000"/>
          <w:sz w:val="20"/>
          <w:szCs w:val="20"/>
          <w:shd w:fill="FFFFFF" w:val="clear"/>
        </w:rPr>
        <w:t>Camera di commercio Toscana Nord Ovest</w:t>
      </w:r>
      <w:r>
        <w:rPr>
          <w:rFonts w:cs="Arial" w:ascii="Arial" w:hAnsi="Arial"/>
          <w:color w:val="000000"/>
          <w:sz w:val="20"/>
          <w:szCs w:val="20"/>
          <w:shd w:fill="FFFFFF" w:val="clear"/>
        </w:rPr>
        <w:t> e, infine, il 10 novembre scorso a </w:t>
      </w:r>
      <w:r>
        <w:rPr>
          <w:rFonts w:cs="Arial" w:ascii="Arial" w:hAnsi="Arial"/>
          <w:b/>
          <w:bCs/>
          <w:color w:val="000000"/>
          <w:sz w:val="20"/>
          <w:szCs w:val="20"/>
          <w:shd w:fill="FFFFFF" w:val="clear"/>
        </w:rPr>
        <w:t>Padova</w:t>
      </w:r>
      <w:r>
        <w:rPr>
          <w:rFonts w:cs="Arial" w:ascii="Arial" w:hAnsi="Arial"/>
          <w:color w:val="000000"/>
          <w:sz w:val="20"/>
          <w:szCs w:val="20"/>
          <w:shd w:fill="FFFFFF" w:val="clear"/>
        </w:rPr>
        <w:t>.</w:t>
      </w:r>
    </w:p>
    <w:p>
      <w:pPr>
        <w:pStyle w:val="Normal"/>
        <w:spacing w:before="0" w:after="120"/>
        <w:jc w:val="both"/>
        <w:rPr>
          <w:rFonts w:ascii="Arial" w:hAnsi="Arial" w:eastAsia="Helvetica Neue" w:cs="Arial"/>
          <w:iCs/>
          <w:sz w:val="20"/>
          <w:szCs w:val="20"/>
        </w:rPr>
      </w:pPr>
      <w:r>
        <w:rPr>
          <w:rFonts w:eastAsia="Helvetica Neue" w:cs="Arial" w:ascii="Arial" w:hAnsi="Arial"/>
          <w:iCs/>
          <w:sz w:val="20"/>
          <w:szCs w:val="20"/>
        </w:rPr>
        <w:t xml:space="preserve">Dopo alcuni anni, torna a BTO2023 </w:t>
      </w:r>
      <w:r>
        <w:rPr>
          <w:rFonts w:eastAsia="Helvetica Neue" w:cs="Arial" w:ascii="Arial" w:hAnsi="Arial"/>
          <w:b/>
          <w:bCs/>
          <w:iCs/>
          <w:sz w:val="20"/>
          <w:szCs w:val="20"/>
        </w:rPr>
        <w:t>PhoCusWright</w:t>
      </w:r>
      <w:r>
        <w:rPr>
          <w:rFonts w:eastAsia="Helvetica Neue" w:cs="Arial" w:ascii="Arial" w:hAnsi="Arial"/>
          <w:iCs/>
          <w:sz w:val="20"/>
          <w:szCs w:val="20"/>
        </w:rPr>
        <w:t xml:space="preserve">, il più importante ente di ricerca sul turismo mondiale presente alla manifestazione con il suo analista per l’Italia, </w:t>
      </w:r>
      <w:r>
        <w:rPr>
          <w:rFonts w:eastAsia="Helvetica Neue" w:cs="Arial" w:ascii="Arial" w:hAnsi="Arial"/>
          <w:b/>
          <w:bCs/>
          <w:iCs/>
          <w:sz w:val="20"/>
          <w:szCs w:val="20"/>
        </w:rPr>
        <w:t>Giancarlo Carniani</w:t>
      </w:r>
      <w:r>
        <w:rPr>
          <w:rFonts w:eastAsia="Helvetica Neue" w:cs="Arial" w:ascii="Arial" w:hAnsi="Arial"/>
          <w:iCs/>
          <w:sz w:val="20"/>
          <w:szCs w:val="20"/>
        </w:rPr>
        <w:t xml:space="preserve">, che il 22 novembre presenterà un deck di dati estratti da </w:t>
      </w:r>
      <w:r>
        <w:rPr>
          <w:rFonts w:eastAsia="Helvetica Neue" w:cs="Arial" w:ascii="Arial" w:hAnsi="Arial"/>
          <w:b/>
          <w:bCs/>
          <w:iCs/>
          <w:sz w:val="20"/>
          <w:szCs w:val="20"/>
        </w:rPr>
        <w:t>“Italian Consumer 2023”</w:t>
      </w:r>
      <w:r>
        <w:rPr>
          <w:rFonts w:eastAsia="Helvetica Neue" w:cs="Arial" w:ascii="Arial" w:hAnsi="Arial"/>
          <w:iCs/>
          <w:sz w:val="20"/>
          <w:szCs w:val="20"/>
        </w:rPr>
        <w:t xml:space="preserve"> soffermandosi sulle tendenze che coinvolgono il nostro paese. Dalla ricerca, che traccia i comportamenti dei consumatori nel post Covid, emergono significativi cambiamenti nelle abitudini di viaggio e differenze marcate tra i vari gruppi di età. A spingere il mercato è ancora la generazione dei </w:t>
      </w:r>
      <w:r>
        <w:rPr>
          <w:rFonts w:eastAsia="Helvetica Neue" w:cs="Arial" w:ascii="Arial" w:hAnsi="Arial"/>
          <w:b/>
          <w:bCs/>
          <w:iCs/>
          <w:sz w:val="20"/>
          <w:szCs w:val="20"/>
        </w:rPr>
        <w:t>Baby Boomers</w:t>
      </w:r>
      <w:r>
        <w:rPr>
          <w:rFonts w:eastAsia="Helvetica Neue" w:cs="Arial" w:ascii="Arial" w:hAnsi="Arial"/>
          <w:iCs/>
          <w:sz w:val="20"/>
          <w:szCs w:val="20"/>
        </w:rPr>
        <w:t xml:space="preserve">, più incline a viaggi di lusso. Si conferma la tendenza ad unire viaggi </w:t>
      </w:r>
      <w:r>
        <w:rPr>
          <w:rFonts w:eastAsia="Helvetica Neue" w:cs="Arial" w:ascii="Arial" w:hAnsi="Arial"/>
          <w:b/>
          <w:bCs/>
          <w:iCs/>
          <w:sz w:val="20"/>
          <w:szCs w:val="20"/>
        </w:rPr>
        <w:t>business e leisure</w:t>
      </w:r>
      <w:r>
        <w:rPr>
          <w:rFonts w:eastAsia="Helvetica Neue" w:cs="Arial" w:ascii="Arial" w:hAnsi="Arial"/>
          <w:iCs/>
          <w:sz w:val="20"/>
          <w:szCs w:val="20"/>
        </w:rPr>
        <w:t xml:space="preserve">, mentre l’analisi dei comportamenti sui social media riserva sorprese: i </w:t>
      </w:r>
      <w:r>
        <w:rPr>
          <w:rFonts w:eastAsia="Helvetica Neue" w:cs="Arial" w:ascii="Arial" w:hAnsi="Arial"/>
          <w:b/>
          <w:bCs/>
          <w:iCs/>
          <w:sz w:val="20"/>
          <w:szCs w:val="20"/>
        </w:rPr>
        <w:t>veri influencer,</w:t>
      </w:r>
      <w:r>
        <w:rPr>
          <w:rFonts w:eastAsia="Helvetica Neue" w:cs="Arial" w:ascii="Arial" w:hAnsi="Arial"/>
          <w:iCs/>
          <w:sz w:val="20"/>
          <w:szCs w:val="20"/>
        </w:rPr>
        <w:t xml:space="preserve"> infatti, sarebbero da ricercare nell'ambito delle amicizie più che tra coloro che ne stanno facendo una professione. Sempre </w:t>
      </w:r>
      <w:r>
        <w:rPr>
          <w:rFonts w:eastAsia="Helvetica Neue" w:cs="Arial" w:ascii="Arial" w:hAnsi="Arial"/>
          <w:b/>
          <w:bCs/>
          <w:iCs/>
          <w:sz w:val="20"/>
          <w:szCs w:val="20"/>
        </w:rPr>
        <w:t>PhoCusWright</w:t>
      </w:r>
      <w:r>
        <w:rPr>
          <w:rFonts w:cs="Arial" w:ascii="Arial" w:hAnsi="Arial"/>
          <w:color w:val="000000"/>
          <w:sz w:val="20"/>
          <w:szCs w:val="20"/>
        </w:rPr>
        <w:t xml:space="preserve"> ha delineato </w:t>
      </w:r>
      <w:r>
        <w:rPr>
          <w:rFonts w:cs="Arial" w:ascii="Arial" w:hAnsi="Arial"/>
          <w:b/>
          <w:bCs/>
          <w:color w:val="000000"/>
          <w:sz w:val="20"/>
          <w:szCs w:val="20"/>
        </w:rPr>
        <w:t>l’identikit del viaggiatore medio italiano:</w:t>
      </w:r>
      <w:r>
        <w:rPr>
          <w:rFonts w:cs="Arial" w:ascii="Arial" w:hAnsi="Arial"/>
          <w:color w:val="000000"/>
          <w:sz w:val="20"/>
          <w:szCs w:val="20"/>
        </w:rPr>
        <w:t xml:space="preserve"> 48 anni, reddito annuo di circa 45mila euro, affiliato a un programma fedeltà collegato a una carta di credito e negli ultimi 12 mesi ha utilizzato i punti accumulati. Negli ultimi 12 mesi ha effettuato in media 3,2 viaggi, per una durata media di circa 12 notti fuori casa. In linea generale i viaggi sono in coppia e la spesa a testa è di oltre 1.100 euro. </w:t>
      </w:r>
    </w:p>
    <w:p>
      <w:pPr>
        <w:pStyle w:val="Normal"/>
        <w:spacing w:before="0" w:after="120"/>
        <w:jc w:val="both"/>
        <w:rPr>
          <w:rFonts w:ascii="Arial" w:hAnsi="Arial" w:eastAsia="Helvetica Neue" w:cs="Arial"/>
          <w:iCs/>
          <w:sz w:val="20"/>
          <w:szCs w:val="20"/>
        </w:rPr>
      </w:pPr>
      <w:r>
        <w:rPr>
          <w:rFonts w:eastAsia="Helvetica Neue" w:cs="Arial" w:ascii="Arial" w:hAnsi="Arial"/>
          <w:b/>
          <w:bCs/>
          <w:iCs/>
          <w:sz w:val="20"/>
          <w:szCs w:val="20"/>
        </w:rPr>
        <w:t>Il 23 novembre</w:t>
      </w:r>
      <w:r>
        <w:rPr>
          <w:rFonts w:eastAsia="Helvetica Neue" w:cs="Arial" w:ascii="Arial" w:hAnsi="Arial"/>
          <w:iCs/>
          <w:sz w:val="20"/>
          <w:szCs w:val="20"/>
        </w:rPr>
        <w:t xml:space="preserve"> BTO ospita la </w:t>
      </w:r>
      <w:r>
        <w:rPr>
          <w:rFonts w:eastAsia="Helvetica Neue" w:cs="Arial" w:ascii="Arial" w:hAnsi="Arial"/>
          <w:b/>
          <w:bCs/>
          <w:iCs/>
          <w:sz w:val="20"/>
          <w:szCs w:val="20"/>
        </w:rPr>
        <w:t xml:space="preserve">prima edizione </w:t>
      </w:r>
      <w:r>
        <w:rPr>
          <w:rFonts w:eastAsia="Helvetica Neue" w:cs="Arial" w:ascii="Arial" w:hAnsi="Arial"/>
          <w:iCs/>
          <w:sz w:val="20"/>
          <w:szCs w:val="20"/>
        </w:rPr>
        <w:t>di</w:t>
      </w:r>
      <w:r>
        <w:rPr>
          <w:rFonts w:eastAsia="Helvetica Neue" w:cs="Arial" w:ascii="Arial" w:hAnsi="Arial"/>
          <w:b/>
          <w:bCs/>
          <w:iCs/>
          <w:sz w:val="20"/>
          <w:szCs w:val="20"/>
        </w:rPr>
        <w:t xml:space="preserve"> Hospitality Project Investment in Tuscany</w:t>
      </w:r>
      <w:r>
        <w:rPr>
          <w:rFonts w:eastAsia="Helvetica Neue" w:cs="Arial" w:ascii="Arial" w:hAnsi="Arial"/>
          <w:iCs/>
          <w:sz w:val="20"/>
          <w:szCs w:val="20"/>
        </w:rPr>
        <w:t>,</w:t>
      </w:r>
      <w:r>
        <w:rPr/>
        <w:t xml:space="preserve"> </w:t>
      </w:r>
      <w:r>
        <w:rPr>
          <w:rFonts w:eastAsia="Helvetica Neue" w:cs="Arial" w:ascii="Arial" w:hAnsi="Arial"/>
          <w:iCs/>
          <w:sz w:val="20"/>
          <w:szCs w:val="20"/>
        </w:rPr>
        <w:t xml:space="preserve">l’evento dedicato alla presentazione di progetti immobiliari turistici del territorio toscano a investitori, costruttori e consulenti. Il palinsesto vede realtà bancarie e alberghiere, architetti, personalità istituzionali, tra cui </w:t>
      </w:r>
      <w:r>
        <w:rPr>
          <w:rFonts w:eastAsia="Helvetica Neue" w:cs="Arial" w:ascii="Arial" w:hAnsi="Arial"/>
          <w:b/>
          <w:bCs/>
          <w:iCs/>
          <w:sz w:val="20"/>
          <w:szCs w:val="20"/>
        </w:rPr>
        <w:t>Invest in Tuscany</w:t>
      </w:r>
      <w:r>
        <w:rPr>
          <w:rFonts w:eastAsia="Helvetica Neue" w:cs="Arial" w:ascii="Arial" w:hAnsi="Arial"/>
          <w:iCs/>
          <w:sz w:val="20"/>
          <w:szCs w:val="20"/>
        </w:rPr>
        <w:t xml:space="preserve">, settore Attrazione investimenti della Regione Toscana, nato nel 2010 al fine di sostenere i processi di insediamento e radicamento in Toscana di società italiane ed estere. Previsti, tra gli altri, gli interventi dell’assessore regionale Leonardo Marras e delle associazioni di categoria </w:t>
      </w:r>
      <w:r>
        <w:rPr>
          <w:rFonts w:eastAsia="Helvetica Neue" w:cs="Arial" w:ascii="Arial" w:hAnsi="Arial"/>
          <w:b/>
          <w:bCs/>
          <w:iCs/>
          <w:sz w:val="20"/>
          <w:szCs w:val="20"/>
        </w:rPr>
        <w:t>Confindustria Alberghi</w:t>
      </w:r>
      <w:r>
        <w:rPr>
          <w:rFonts w:eastAsia="Helvetica Neue" w:cs="Arial" w:ascii="Arial" w:hAnsi="Arial"/>
          <w:iCs/>
          <w:sz w:val="20"/>
          <w:szCs w:val="20"/>
        </w:rPr>
        <w:t xml:space="preserve"> con il vicepresidente </w:t>
      </w:r>
      <w:r>
        <w:rPr>
          <w:rFonts w:eastAsia="Helvetica Neue" w:cs="Arial" w:ascii="Arial" w:hAnsi="Arial"/>
          <w:b/>
          <w:bCs/>
          <w:iCs/>
          <w:sz w:val="20"/>
          <w:szCs w:val="20"/>
        </w:rPr>
        <w:t>Giorgio Palmucci</w:t>
      </w:r>
      <w:r>
        <w:rPr>
          <w:rFonts w:eastAsia="Helvetica Neue" w:cs="Arial" w:ascii="Arial" w:hAnsi="Arial"/>
          <w:iCs/>
          <w:sz w:val="20"/>
          <w:szCs w:val="20"/>
        </w:rPr>
        <w:t xml:space="preserve">, e </w:t>
      </w:r>
      <w:r>
        <w:rPr>
          <w:rFonts w:eastAsia="Helvetica Neue" w:cs="Arial" w:ascii="Arial" w:hAnsi="Arial"/>
          <w:b/>
          <w:bCs/>
          <w:iCs/>
          <w:sz w:val="20"/>
          <w:szCs w:val="20"/>
        </w:rPr>
        <w:t>Federalberghi Firenze</w:t>
      </w:r>
      <w:r>
        <w:rPr>
          <w:rFonts w:eastAsia="Helvetica Neue" w:cs="Arial" w:ascii="Arial" w:hAnsi="Arial"/>
          <w:iCs/>
          <w:sz w:val="20"/>
          <w:szCs w:val="20"/>
        </w:rPr>
        <w:t xml:space="preserve">, con il presidente </w:t>
      </w:r>
      <w:r>
        <w:rPr>
          <w:rFonts w:eastAsia="Helvetica Neue" w:cs="Arial" w:ascii="Arial" w:hAnsi="Arial"/>
          <w:b/>
          <w:bCs/>
          <w:iCs/>
          <w:sz w:val="20"/>
          <w:szCs w:val="20"/>
        </w:rPr>
        <w:t>Francesco Bechi</w:t>
      </w:r>
      <w:r>
        <w:rPr>
          <w:rFonts w:eastAsia="Helvetica Neue" w:cs="Arial" w:ascii="Arial" w:hAnsi="Arial"/>
          <w:iCs/>
          <w:sz w:val="20"/>
          <w:szCs w:val="20"/>
        </w:rPr>
        <w:t xml:space="preserve">. </w:t>
      </w:r>
    </w:p>
    <w:p>
      <w:pPr>
        <w:pStyle w:val="Normal"/>
        <w:spacing w:before="0" w:after="120"/>
        <w:jc w:val="both"/>
        <w:rPr>
          <w:rFonts w:ascii="Arial" w:hAnsi="Arial" w:eastAsia="Helvetica Neue" w:cs="Arial"/>
          <w:iCs/>
          <w:sz w:val="20"/>
          <w:szCs w:val="20"/>
        </w:rPr>
      </w:pPr>
      <w:r>
        <w:rPr>
          <w:rFonts w:eastAsia="Helvetica Neue" w:cs="Arial" w:ascii="Arial" w:hAnsi="Arial"/>
          <w:iCs/>
          <w:sz w:val="20"/>
          <w:szCs w:val="20"/>
        </w:rPr>
        <w:t>Spazio poi ad</w:t>
      </w:r>
      <w:r>
        <w:rPr>
          <w:rFonts w:eastAsia="Helvetica Neue" w:cs="Arial" w:ascii="Arial" w:hAnsi="Arial"/>
          <w:b/>
          <w:bCs/>
          <w:iCs/>
          <w:sz w:val="20"/>
          <w:szCs w:val="20"/>
        </w:rPr>
        <w:t xml:space="preserve"> Almawave e The Data Appeal Company </w:t>
      </w:r>
      <w:r>
        <w:rPr>
          <w:rFonts w:eastAsia="Helvetica Neue" w:cs="Arial" w:ascii="Arial" w:hAnsi="Arial"/>
          <w:iCs/>
          <w:sz w:val="20"/>
          <w:szCs w:val="20"/>
        </w:rPr>
        <w:t xml:space="preserve">che il 23 novembre presentano “Data-driven tourism. Un punto di vista su come bilanciare la qualità della vita dei cittadini con la qualità dell’esperienza dei turisti grazie ai dati e all’intelligenza artificiale”. La sostenibilità e le nuove tecnologie sono le due chiavi di volta del turismo di oggi e di domani: secondo un recente report di </w:t>
      </w:r>
      <w:r>
        <w:rPr>
          <w:rFonts w:cs="Arial" w:ascii="Arial" w:hAnsi="Arial"/>
          <w:sz w:val="20"/>
          <w:szCs w:val="20"/>
          <w14:textOutline w14:w="0" w14:cap="flat" w14:cmpd="sng" w14:algn="ctr">
            <w14:noFill/>
            <w14:prstDash w14:val="solid"/>
            <w14:bevel/>
          </w14:textOutline>
        </w:rPr>
        <w:t xml:space="preserve">The Data Appeal Company, società del Gruppo Almawave, </w:t>
      </w:r>
      <w:r>
        <w:rPr>
          <w:rFonts w:eastAsia="Helvetica Neue" w:cs="Arial" w:ascii="Arial" w:hAnsi="Arial"/>
          <w:iCs/>
          <w:sz w:val="20"/>
          <w:szCs w:val="20"/>
        </w:rPr>
        <w:t xml:space="preserve">dedicato al turismo e all’inclusività in Europa, </w:t>
      </w:r>
      <w:r>
        <w:rPr>
          <w:rFonts w:cs="Arial" w:ascii="Arial" w:hAnsi="Arial"/>
          <w:sz w:val="20"/>
          <w:szCs w:val="20"/>
          <w14:textOutline w14:w="0" w14:cap="flat" w14:cmpd="sng" w14:algn="ctr">
            <w14:noFill/>
            <w14:prstDash w14:val="solid"/>
            <w14:bevel/>
          </w14:textOutline>
        </w:rPr>
        <w:t xml:space="preserve">la Versilia e il Salento sono due delle mete ritenute più inclusive in Italia e nel mondo dalla community LGBTQ+, mentre il Trentino risulta la destinazione più apprezzata per il fattore sostenibilità. </w:t>
      </w:r>
      <w:r>
        <w:rPr>
          <w:rFonts w:eastAsia="Helvetica Neue" w:cs="Arial" w:ascii="Arial" w:hAnsi="Arial"/>
          <w:iCs/>
          <w:sz w:val="20"/>
          <w:szCs w:val="20"/>
        </w:rPr>
        <w:t>Ricco il carnet di ospiti chiamati a intervenire: da</w:t>
      </w:r>
      <w:r>
        <w:rPr>
          <w:rFonts w:cs="Arial" w:ascii="Arial" w:hAnsi="Arial"/>
          <w:sz w:val="20"/>
          <w:szCs w:val="20"/>
        </w:rPr>
        <w:t xml:space="preserve"> </w:t>
      </w:r>
      <w:r>
        <w:rPr>
          <w:rFonts w:eastAsia="Helvetica Neue" w:cs="Arial" w:ascii="Arial" w:hAnsi="Arial"/>
          <w:b/>
          <w:bCs/>
          <w:iCs/>
          <w:sz w:val="20"/>
          <w:szCs w:val="20"/>
        </w:rPr>
        <w:t>Jelka Tepšić</w:t>
      </w:r>
      <w:r>
        <w:rPr>
          <w:rFonts w:eastAsia="Helvetica Neue" w:cs="Arial" w:ascii="Arial" w:hAnsi="Arial"/>
          <w:iCs/>
          <w:sz w:val="20"/>
          <w:szCs w:val="20"/>
        </w:rPr>
        <w:t xml:space="preserve">, Deputy Mayor – City of Dubrovnik a </w:t>
      </w:r>
      <w:r>
        <w:rPr>
          <w:rFonts w:eastAsia="Helvetica Neue" w:cs="Arial" w:ascii="Arial" w:hAnsi="Arial"/>
          <w:b/>
          <w:bCs/>
          <w:iCs/>
          <w:sz w:val="20"/>
          <w:szCs w:val="20"/>
        </w:rPr>
        <w:t>Giorgio Soffiato</w:t>
      </w:r>
      <w:r>
        <w:rPr>
          <w:rFonts w:eastAsia="Helvetica Neue" w:cs="Arial" w:ascii="Arial" w:hAnsi="Arial"/>
          <w:iCs/>
          <w:sz w:val="20"/>
          <w:szCs w:val="20"/>
        </w:rPr>
        <w:t xml:space="preserve">, AD – Marketing Arena Spa e Fellow Professor – SDA Bocconi, fino a </w:t>
      </w:r>
      <w:r>
        <w:rPr>
          <w:rFonts w:eastAsia="Helvetica Neue" w:cs="Arial" w:ascii="Arial" w:hAnsi="Arial"/>
          <w:b/>
          <w:bCs/>
          <w:iCs/>
          <w:sz w:val="20"/>
          <w:szCs w:val="20"/>
        </w:rPr>
        <w:t>Massimiliano Ventimiglia</w:t>
      </w:r>
      <w:r>
        <w:rPr>
          <w:rFonts w:eastAsia="Helvetica Neue" w:cs="Arial" w:ascii="Arial" w:hAnsi="Arial"/>
          <w:iCs/>
          <w:sz w:val="20"/>
          <w:szCs w:val="20"/>
        </w:rPr>
        <w:t>, Founder di Onde Alte. Ma veniamo alle novità dei 4 topic in programma:</w:t>
      </w:r>
    </w:p>
    <w:p>
      <w:pPr>
        <w:pStyle w:val="Normal"/>
        <w:spacing w:before="0" w:after="120"/>
        <w:jc w:val="both"/>
        <w:rPr>
          <w:rFonts w:ascii="Arial" w:hAnsi="Arial" w:cs="Arial"/>
          <w:color w:val="000000" w:themeColor="text1"/>
          <w:sz w:val="20"/>
          <w:szCs w:val="20"/>
        </w:rPr>
      </w:pPr>
      <w:r>
        <w:rPr>
          <w:rFonts w:eastAsia="Helvetica Neue" w:cs="Arial" w:ascii="Arial" w:hAnsi="Arial"/>
          <w:b/>
          <w:bCs/>
          <w:iCs/>
          <w:sz w:val="20"/>
          <w:szCs w:val="20"/>
        </w:rPr>
        <w:t>Destination</w:t>
      </w:r>
      <w:r>
        <w:rPr>
          <w:rFonts w:eastAsia="Helvetica Neue" w:cs="Arial" w:ascii="Arial" w:hAnsi="Arial"/>
          <w:iCs/>
          <w:sz w:val="20"/>
          <w:szCs w:val="20"/>
        </w:rPr>
        <w:t xml:space="preserve">. Per la sezione curata da </w:t>
      </w:r>
      <w:r>
        <w:rPr>
          <w:rFonts w:eastAsia="Helvetica Neue" w:cs="Arial" w:ascii="Arial" w:hAnsi="Arial"/>
          <w:b/>
          <w:bCs/>
          <w:iCs/>
          <w:sz w:val="20"/>
          <w:szCs w:val="20"/>
        </w:rPr>
        <w:t>Emma Taveri</w:t>
      </w:r>
      <w:r>
        <w:rPr>
          <w:rFonts w:eastAsia="Helvetica Neue" w:cs="Arial" w:ascii="Arial" w:hAnsi="Arial"/>
          <w:iCs/>
          <w:sz w:val="20"/>
          <w:szCs w:val="20"/>
        </w:rPr>
        <w:t xml:space="preserve"> da non perdere il panel che ha visto il contributo organizzativo di Fondazione Sistema Toscana sul tema dell’</w:t>
      </w:r>
      <w:r>
        <w:rPr>
          <w:rFonts w:eastAsia="Helvetica Neue" w:cs="Arial" w:ascii="Arial" w:hAnsi="Arial"/>
          <w:b/>
          <w:bCs/>
          <w:iCs/>
          <w:sz w:val="20"/>
          <w:szCs w:val="20"/>
        </w:rPr>
        <w:t>AI</w:t>
      </w:r>
      <w:r>
        <w:rPr>
          <w:rFonts w:eastAsia="Helvetica Neue" w:cs="Arial" w:ascii="Arial" w:hAnsi="Arial"/>
          <w:iCs/>
          <w:sz w:val="20"/>
          <w:szCs w:val="20"/>
        </w:rPr>
        <w:t xml:space="preserve"> che qui significa </w:t>
      </w:r>
      <w:r>
        <w:rPr>
          <w:rFonts w:eastAsia="Helvetica Neue" w:cs="Arial" w:ascii="Arial" w:hAnsi="Arial"/>
          <w:b/>
          <w:bCs/>
          <w:iCs/>
          <w:sz w:val="20"/>
          <w:szCs w:val="20"/>
        </w:rPr>
        <w:t>Asian Intelligence</w:t>
      </w:r>
      <w:r>
        <w:rPr>
          <w:rFonts w:eastAsia="Helvetica Neue" w:cs="Arial" w:ascii="Arial" w:hAnsi="Arial"/>
          <w:iCs/>
          <w:sz w:val="20"/>
          <w:szCs w:val="20"/>
        </w:rPr>
        <w:t xml:space="preserve">. Il 22 novembre si parlerà, infatti, del </w:t>
      </w:r>
      <w:r>
        <w:rPr>
          <w:rFonts w:eastAsia="Helvetica Neue" w:cs="Arial" w:ascii="Arial" w:hAnsi="Arial"/>
          <w:b/>
          <w:bCs/>
          <w:iCs/>
          <w:sz w:val="20"/>
          <w:szCs w:val="20"/>
        </w:rPr>
        <w:t>ritorno del turismo asiatico</w:t>
      </w:r>
      <w:r>
        <w:rPr>
          <w:rFonts w:eastAsia="Helvetica Neue" w:cs="Arial" w:ascii="Arial" w:hAnsi="Arial"/>
          <w:iCs/>
          <w:sz w:val="20"/>
          <w:szCs w:val="20"/>
        </w:rPr>
        <w:t xml:space="preserve">, in particolare da Cina e India, tra aspettative, nuovi stili di viaggio e innovazione vista da due grandi operatori del continente, con gli interventi di </w:t>
      </w:r>
      <w:r>
        <w:rPr>
          <w:rFonts w:cs="Arial" w:ascii="Arial" w:hAnsi="Arial"/>
          <w:b/>
          <w:bCs/>
          <w:color w:val="222222"/>
          <w:sz w:val="20"/>
          <w:szCs w:val="20"/>
        </w:rPr>
        <w:t>Stefano Generali </w:t>
      </w:r>
      <w:r>
        <w:rPr>
          <w:rFonts w:cs="Arial" w:ascii="Arial" w:hAnsi="Arial"/>
          <w:color w:val="222222"/>
          <w:sz w:val="20"/>
          <w:szCs w:val="20"/>
        </w:rPr>
        <w:t xml:space="preserve">- Direttore Generale Intarget Shanghai, </w:t>
      </w:r>
      <w:r>
        <w:rPr>
          <w:rFonts w:cs="Arial" w:ascii="Arial" w:hAnsi="Arial"/>
          <w:b/>
          <w:bCs/>
          <w:color w:val="222222"/>
          <w:sz w:val="20"/>
          <w:szCs w:val="20"/>
        </w:rPr>
        <w:t>Francesco Boggio Ferraris</w:t>
      </w:r>
      <w:r>
        <w:rPr>
          <w:rFonts w:cs="Arial" w:ascii="Arial" w:hAnsi="Arial"/>
          <w:color w:val="222222"/>
          <w:sz w:val="20"/>
          <w:szCs w:val="20"/>
        </w:rPr>
        <w:t xml:space="preserve"> - direttore presso la Scuola di Formazione permanente di Italy China Council Foundation. La seconda parte dell’incontro vedrà gli interventi di </w:t>
      </w:r>
      <w:r>
        <w:rPr>
          <w:rFonts w:cs="Arial" w:ascii="Arial" w:hAnsi="Arial"/>
          <w:b/>
          <w:bCs/>
          <w:color w:val="222222"/>
          <w:sz w:val="20"/>
          <w:szCs w:val="20"/>
        </w:rPr>
        <w:t>Amy Wei</w:t>
      </w:r>
      <w:r>
        <w:rPr>
          <w:rFonts w:cs="Arial" w:ascii="Arial" w:hAnsi="Arial"/>
          <w:color w:val="222222"/>
          <w:sz w:val="20"/>
          <w:szCs w:val="20"/>
        </w:rPr>
        <w:t> di</w:t>
      </w:r>
      <w:r>
        <w:rPr>
          <w:rFonts w:cs="Arial" w:ascii="Arial" w:hAnsi="Arial"/>
          <w:color w:val="000000" w:themeColor="text1"/>
          <w:sz w:val="20"/>
          <w:szCs w:val="20"/>
        </w:rPr>
        <w:t xml:space="preserve"> Trip.com Group, </w:t>
      </w:r>
      <w:r>
        <w:rPr>
          <w:rFonts w:cs="Arial" w:ascii="Arial" w:hAnsi="Arial"/>
          <w:b/>
          <w:bCs/>
          <w:color w:val="000000" w:themeColor="text1"/>
          <w:sz w:val="20"/>
          <w:szCs w:val="20"/>
        </w:rPr>
        <w:t>Divya Khatri </w:t>
      </w:r>
      <w:r>
        <w:rPr>
          <w:rFonts w:cs="Arial" w:ascii="Arial" w:hAnsi="Arial"/>
          <w:color w:val="000000" w:themeColor="text1"/>
          <w:sz w:val="20"/>
          <w:szCs w:val="20"/>
        </w:rPr>
        <w:t>- Strategic Partnerships and Product Management Professional - Make My Trip, moderati da</w:t>
      </w:r>
      <w:r>
        <w:rPr>
          <w:rFonts w:cs="Arial" w:ascii="Arial" w:hAnsi="Arial"/>
          <w:b/>
          <w:bCs/>
          <w:color w:val="000000" w:themeColor="text1"/>
          <w:sz w:val="20"/>
          <w:szCs w:val="20"/>
        </w:rPr>
        <w:t> Andrea Canapa</w:t>
      </w:r>
      <w:r>
        <w:rPr>
          <w:rFonts w:cs="Arial" w:ascii="Arial" w:hAnsi="Arial"/>
          <w:color w:val="000000" w:themeColor="text1"/>
          <w:sz w:val="20"/>
          <w:szCs w:val="20"/>
        </w:rPr>
        <w:t> - Senior Marketing and Communication Consultant at Italian Ministry of Foreign Affairs - Italian Trade Commission. Si esploreranno poi le implicazioni e opportunità legate all'IA per le destinazioni da diverse prospettive: la sostenibilità con Mara Stotti, Direttrice dello Sviluppo Turistico dell’Istituto Nazionale di Turismo del Nicaragua; le declinazioni nel MICE e negli eventi, con Convention Bureau Italia e Copenhagen, Gruppo IMEX; esperienze sensoriali immersive con Carlos Chaguaceda, il Direttore Comunicazione del Museo del Prado di Madrid.</w:t>
      </w:r>
    </w:p>
    <w:p>
      <w:pPr>
        <w:pStyle w:val="Normal"/>
        <w:spacing w:before="0" w:after="120"/>
        <w:jc w:val="both"/>
        <w:rPr>
          <w:rFonts w:ascii="Arial" w:hAnsi="Arial" w:cs="Arial"/>
          <w:color w:val="222222"/>
          <w:sz w:val="20"/>
          <w:szCs w:val="20"/>
        </w:rPr>
      </w:pPr>
      <w:r>
        <w:rPr>
          <w:rFonts w:cs="Arial" w:ascii="Arial" w:hAnsi="Arial"/>
          <w:b/>
          <w:bCs/>
          <w:color w:val="000000" w:themeColor="text1"/>
          <w:sz w:val="20"/>
          <w:szCs w:val="20"/>
        </w:rPr>
        <w:t>Digital Strategy</w:t>
      </w:r>
      <w:r>
        <w:rPr>
          <w:rFonts w:cs="Arial" w:ascii="Arial" w:hAnsi="Arial"/>
          <w:color w:val="000000" w:themeColor="text1"/>
          <w:sz w:val="20"/>
          <w:szCs w:val="20"/>
        </w:rPr>
        <w:t xml:space="preserve">. Al centro dell’area curata da </w:t>
      </w:r>
      <w:r>
        <w:rPr>
          <w:rFonts w:cs="Arial" w:ascii="Arial" w:hAnsi="Arial"/>
          <w:b/>
          <w:bCs/>
          <w:color w:val="000000" w:themeColor="text1"/>
          <w:sz w:val="20"/>
          <w:szCs w:val="20"/>
        </w:rPr>
        <w:t>Giulia Eremita</w:t>
      </w:r>
      <w:r>
        <w:rPr>
          <w:rFonts w:cs="Arial" w:ascii="Arial" w:hAnsi="Arial"/>
          <w:color w:val="000000" w:themeColor="text1"/>
          <w:sz w:val="20"/>
          <w:szCs w:val="20"/>
        </w:rPr>
        <w:t xml:space="preserve"> e </w:t>
      </w:r>
      <w:r>
        <w:rPr>
          <w:rFonts w:cs="Arial" w:ascii="Arial" w:hAnsi="Arial"/>
          <w:b/>
          <w:bCs/>
          <w:color w:val="000000" w:themeColor="text1"/>
          <w:sz w:val="20"/>
          <w:szCs w:val="20"/>
        </w:rPr>
        <w:t>Rodolfo Baggio</w:t>
      </w:r>
      <w:r>
        <w:rPr>
          <w:rFonts w:cs="Arial" w:ascii="Arial" w:hAnsi="Arial"/>
          <w:color w:val="000000" w:themeColor="text1"/>
          <w:sz w:val="20"/>
          <w:szCs w:val="20"/>
        </w:rPr>
        <w:t xml:space="preserve">, tutti i riferimenti scientifici, tematici e pratici sull’AI come strumento che abilita il “Sapiens” nella sua nuova capacità di interrogare, creare e costruire valore, anche nel turismo. Oltre all’atteso duetto </w:t>
      </w:r>
      <w:r>
        <w:rPr>
          <w:rFonts w:cs="Arial" w:ascii="Arial" w:hAnsi="Arial"/>
          <w:b/>
          <w:bCs/>
          <w:color w:val="000000" w:themeColor="text1"/>
          <w:sz w:val="20"/>
          <w:szCs w:val="20"/>
        </w:rPr>
        <w:t>Faggin-Quintarelli</w:t>
      </w:r>
      <w:r>
        <w:rPr>
          <w:rFonts w:cs="Arial" w:ascii="Arial" w:hAnsi="Arial"/>
          <w:color w:val="000000" w:themeColor="text1"/>
          <w:sz w:val="20"/>
          <w:szCs w:val="20"/>
        </w:rPr>
        <w:t xml:space="preserve">, focus sul travel &amp; hospitality con </w:t>
      </w:r>
      <w:r>
        <w:rPr>
          <w:rFonts w:cs="Arial" w:ascii="Arial" w:hAnsi="Arial"/>
          <w:b/>
          <w:bCs/>
          <w:color w:val="000000" w:themeColor="text1"/>
          <w:sz w:val="20"/>
          <w:szCs w:val="20"/>
        </w:rPr>
        <w:t>Adrienne Enggist</w:t>
      </w:r>
      <w:r>
        <w:rPr>
          <w:rFonts w:cs="Arial" w:ascii="Arial" w:hAnsi="Arial"/>
          <w:color w:val="000000" w:themeColor="text1"/>
          <w:sz w:val="20"/>
          <w:szCs w:val="20"/>
        </w:rPr>
        <w:t xml:space="preserve">, Director of Product Development di </w:t>
      </w:r>
      <w:r>
        <w:rPr>
          <w:rFonts w:cs="Arial" w:ascii="Arial" w:hAnsi="Arial"/>
          <w:b/>
          <w:bCs/>
          <w:color w:val="000000" w:themeColor="text1"/>
          <w:sz w:val="20"/>
          <w:szCs w:val="20"/>
        </w:rPr>
        <w:t>Booking.com</w:t>
      </w:r>
      <w:r>
        <w:rPr>
          <w:rFonts w:cs="Arial" w:ascii="Arial" w:hAnsi="Arial"/>
          <w:color w:val="000000" w:themeColor="text1"/>
          <w:sz w:val="20"/>
          <w:szCs w:val="20"/>
        </w:rPr>
        <w:t xml:space="preserve">, </w:t>
      </w:r>
      <w:r>
        <w:rPr>
          <w:rFonts w:cs="Arial" w:ascii="Arial" w:hAnsi="Arial"/>
          <w:b/>
          <w:bCs/>
          <w:color w:val="000000" w:themeColor="text1"/>
          <w:sz w:val="20"/>
          <w:szCs w:val="20"/>
        </w:rPr>
        <w:t>Fabio Galetto</w:t>
      </w:r>
      <w:r>
        <w:rPr>
          <w:rFonts w:cs="Arial" w:ascii="Arial" w:hAnsi="Arial"/>
          <w:color w:val="000000" w:themeColor="text1"/>
          <w:sz w:val="20"/>
          <w:szCs w:val="20"/>
        </w:rPr>
        <w:t xml:space="preserve"> Sales Industry leader di </w:t>
      </w:r>
      <w:r>
        <w:rPr>
          <w:rFonts w:cs="Arial" w:ascii="Arial" w:hAnsi="Arial"/>
          <w:b/>
          <w:bCs/>
          <w:color w:val="000000" w:themeColor="text1"/>
          <w:sz w:val="20"/>
          <w:szCs w:val="20"/>
        </w:rPr>
        <w:t>Google</w:t>
      </w:r>
      <w:r>
        <w:rPr>
          <w:rFonts w:cs="Arial" w:ascii="Arial" w:hAnsi="Arial"/>
          <w:color w:val="000000" w:themeColor="text1"/>
          <w:sz w:val="20"/>
          <w:szCs w:val="20"/>
        </w:rPr>
        <w:t xml:space="preserve"> e </w:t>
      </w:r>
      <w:r>
        <w:rPr>
          <w:rFonts w:cs="Arial" w:ascii="Arial" w:hAnsi="Arial"/>
          <w:b/>
          <w:bCs/>
          <w:color w:val="000000" w:themeColor="text1"/>
          <w:sz w:val="20"/>
          <w:szCs w:val="20"/>
        </w:rPr>
        <w:t>Pier Luigi Dal Pino</w:t>
      </w:r>
      <w:r>
        <w:rPr>
          <w:rFonts w:cs="Arial" w:ascii="Arial" w:hAnsi="Arial"/>
          <w:color w:val="000000" w:themeColor="text1"/>
          <w:sz w:val="20"/>
          <w:szCs w:val="20"/>
        </w:rPr>
        <w:t xml:space="preserve">, Senior Regional Director Government Affairs Western Europe di </w:t>
      </w:r>
      <w:r>
        <w:rPr>
          <w:rFonts w:cs="Arial" w:ascii="Arial" w:hAnsi="Arial"/>
          <w:b/>
          <w:bCs/>
          <w:color w:val="000000" w:themeColor="text1"/>
          <w:sz w:val="20"/>
          <w:szCs w:val="20"/>
        </w:rPr>
        <w:t>Microsoft.</w:t>
      </w:r>
      <w:r>
        <w:rPr>
          <w:rFonts w:cs="Arial" w:ascii="Arial" w:hAnsi="Arial"/>
          <w:color w:val="000000" w:themeColor="text1"/>
          <w:sz w:val="20"/>
          <w:szCs w:val="20"/>
        </w:rPr>
        <w:t xml:space="preserve"> Nello sconfinato patrimonio degli open data, un confronto tra figure quali </w:t>
      </w:r>
      <w:r>
        <w:rPr>
          <w:rFonts w:cs="Arial" w:ascii="Arial" w:hAnsi="Arial"/>
          <w:b/>
          <w:bCs/>
          <w:color w:val="000000" w:themeColor="text1"/>
          <w:sz w:val="20"/>
          <w:szCs w:val="20"/>
        </w:rPr>
        <w:t>Maurizio Napolitano</w:t>
      </w:r>
      <w:r>
        <w:rPr>
          <w:rFonts w:cs="Arial" w:ascii="Arial" w:hAnsi="Arial"/>
          <w:color w:val="000000" w:themeColor="text1"/>
          <w:sz w:val="20"/>
          <w:szCs w:val="20"/>
        </w:rPr>
        <w:t xml:space="preserve">, coordinatore del laboratorio Digital Commons Lab (DCL) di FBK - Fondazione Bruno Kessler, </w:t>
      </w:r>
      <w:r>
        <w:rPr>
          <w:rFonts w:cs="Arial" w:ascii="Arial" w:hAnsi="Arial"/>
          <w:b/>
          <w:bCs/>
          <w:color w:val="000000" w:themeColor="text1"/>
          <w:sz w:val="20"/>
          <w:szCs w:val="20"/>
        </w:rPr>
        <w:t>Alice Corona</w:t>
      </w:r>
      <w:r>
        <w:rPr>
          <w:rFonts w:cs="Arial" w:ascii="Arial" w:hAnsi="Arial"/>
          <w:color w:val="000000" w:themeColor="text1"/>
          <w:sz w:val="20"/>
          <w:szCs w:val="20"/>
        </w:rPr>
        <w:t xml:space="preserve"> di Sheldon Studio e Ilaria Vitiello, urban planner e imprenditrice. Per la serie “cassetta degli attrezzi” per gli operatori del settore il giornalista </w:t>
      </w:r>
      <w:r>
        <w:rPr>
          <w:rFonts w:cs="Arial" w:ascii="Arial" w:hAnsi="Arial"/>
          <w:b/>
          <w:bCs/>
          <w:color w:val="000000" w:themeColor="text1"/>
          <w:sz w:val="20"/>
          <w:szCs w:val="20"/>
        </w:rPr>
        <w:t>Federico Geremei</w:t>
      </w:r>
      <w:r>
        <w:rPr>
          <w:rFonts w:cs="Arial" w:ascii="Arial" w:hAnsi="Arial"/>
          <w:color w:val="000000" w:themeColor="text1"/>
          <w:sz w:val="20"/>
          <w:szCs w:val="20"/>
        </w:rPr>
        <w:t xml:space="preserve"> illustrerà "Trend, previsioni e proiezioni nel turismo: lezioni apprese, data visualization e tools", mentre Donata Columbro, “data humanizer”, speaker e docente di data visualization, condividerà alcune pratiche di storytelling attraverso l’ideazione e l’utilizzo di infografiche evolute.</w:t>
      </w:r>
    </w:p>
    <w:p>
      <w:pPr>
        <w:pStyle w:val="Normal"/>
        <w:spacing w:before="0" w:after="120"/>
        <w:jc w:val="both"/>
        <w:rPr>
          <w:rFonts w:ascii="Arial" w:hAnsi="Arial" w:cs="Arial"/>
          <w:color w:val="000000"/>
          <w:sz w:val="20"/>
          <w:szCs w:val="20"/>
          <w:highlight w:val="white"/>
        </w:rPr>
      </w:pPr>
      <w:r>
        <w:rPr>
          <w:rFonts w:cs="Arial" w:ascii="Arial" w:hAnsi="Arial"/>
          <w:b/>
          <w:bCs/>
          <w:color w:val="000000" w:themeColor="text1"/>
          <w:sz w:val="20"/>
          <w:szCs w:val="20"/>
        </w:rPr>
        <w:t xml:space="preserve">Food&amp;Wine. </w:t>
      </w:r>
      <w:r>
        <w:rPr>
          <w:rFonts w:cs="Arial" w:ascii="Arial" w:hAnsi="Arial"/>
          <w:color w:val="000000"/>
          <w:sz w:val="20"/>
          <w:szCs w:val="20"/>
        </w:rPr>
        <w:t>Nella sezione dedicata al turismo enogastronomico curata da </w:t>
      </w:r>
      <w:r>
        <w:rPr>
          <w:rFonts w:cs="Arial" w:ascii="Arial" w:hAnsi="Arial"/>
          <w:b/>
          <w:bCs/>
          <w:color w:val="000000"/>
          <w:sz w:val="20"/>
          <w:szCs w:val="20"/>
        </w:rPr>
        <w:t>Roberta Milano</w:t>
      </w:r>
      <w:r>
        <w:rPr>
          <w:rFonts w:cs="Arial" w:ascii="Arial" w:hAnsi="Arial"/>
          <w:color w:val="000000"/>
          <w:sz w:val="20"/>
          <w:szCs w:val="20"/>
        </w:rPr>
        <w:t>, spicca la presenza del nutrizionista </w:t>
      </w:r>
      <w:r>
        <w:rPr>
          <w:rFonts w:cs="Arial" w:ascii="Arial" w:hAnsi="Arial"/>
          <w:b/>
          <w:bCs/>
          <w:color w:val="000000"/>
          <w:sz w:val="20"/>
          <w:szCs w:val="20"/>
        </w:rPr>
        <w:t>Giorgio Calabrese</w:t>
      </w:r>
      <w:r>
        <w:rPr>
          <w:rFonts w:cs="Arial" w:ascii="Arial" w:hAnsi="Arial"/>
          <w:color w:val="000000"/>
          <w:sz w:val="20"/>
          <w:szCs w:val="20"/>
        </w:rPr>
        <w:t> che interverrà in un panel con l’Ente Turismo Langhe Monferrato e Roero. Di destinazioni e turismo enogastronomico in una dimensione internazionale si parlerà, poi, con </w:t>
      </w:r>
      <w:r>
        <w:rPr>
          <w:rFonts w:cs="Arial" w:ascii="Arial" w:hAnsi="Arial"/>
          <w:b/>
          <w:bCs/>
          <w:color w:val="000000"/>
          <w:sz w:val="20"/>
          <w:szCs w:val="20"/>
        </w:rPr>
        <w:t>Maria Elena Rossi</w:t>
      </w:r>
      <w:r>
        <w:rPr>
          <w:rFonts w:cs="Arial" w:ascii="Arial" w:hAnsi="Arial"/>
          <w:color w:val="000000"/>
          <w:sz w:val="20"/>
          <w:szCs w:val="20"/>
        </w:rPr>
        <w:t>, Direttrice marketing </w:t>
      </w:r>
      <w:r>
        <w:rPr>
          <w:rFonts w:cs="Arial" w:ascii="Arial" w:hAnsi="Arial"/>
          <w:b/>
          <w:bCs/>
          <w:color w:val="000000"/>
          <w:sz w:val="20"/>
          <w:szCs w:val="20"/>
        </w:rPr>
        <w:t>ENIT</w:t>
      </w:r>
      <w:r>
        <w:rPr>
          <w:rFonts w:cs="Arial" w:ascii="Arial" w:hAnsi="Arial"/>
          <w:color w:val="000000"/>
          <w:sz w:val="20"/>
          <w:szCs w:val="20"/>
        </w:rPr>
        <w:t> e con </w:t>
      </w:r>
      <w:r>
        <w:rPr>
          <w:rFonts w:cs="Arial" w:ascii="Arial" w:hAnsi="Arial"/>
          <w:b/>
          <w:bCs/>
          <w:color w:val="000000"/>
          <w:sz w:val="20"/>
          <w:szCs w:val="20"/>
        </w:rPr>
        <w:t>Marta Domènech</w:t>
      </w:r>
      <w:r>
        <w:rPr>
          <w:rFonts w:cs="Arial" w:ascii="Arial" w:hAnsi="Arial"/>
          <w:color w:val="000000"/>
          <w:sz w:val="20"/>
          <w:szCs w:val="20"/>
        </w:rPr>
        <w:t>, Director General </w:t>
      </w:r>
      <w:r>
        <w:rPr>
          <w:rFonts w:cs="Arial" w:ascii="Arial" w:hAnsi="Arial"/>
          <w:b/>
          <w:bCs/>
          <w:color w:val="000000"/>
          <w:sz w:val="20"/>
          <w:szCs w:val="20"/>
        </w:rPr>
        <w:t>Catalonia</w:t>
      </w:r>
      <w:r>
        <w:rPr>
          <w:rFonts w:cs="Arial" w:ascii="Arial" w:hAnsi="Arial"/>
          <w:color w:val="000000"/>
          <w:sz w:val="20"/>
          <w:szCs w:val="20"/>
        </w:rPr>
        <w:t>. Particolare attenzione all’</w:t>
      </w:r>
      <w:r>
        <w:rPr>
          <w:rFonts w:cs="Arial" w:ascii="Arial" w:hAnsi="Arial"/>
          <w:b/>
          <w:bCs/>
          <w:color w:val="000000"/>
          <w:sz w:val="20"/>
          <w:szCs w:val="20"/>
        </w:rPr>
        <w:t>enoturismo</w:t>
      </w:r>
      <w:r>
        <w:rPr>
          <w:rFonts w:cs="Arial" w:ascii="Arial" w:hAnsi="Arial"/>
          <w:color w:val="000000"/>
          <w:sz w:val="20"/>
          <w:szCs w:val="20"/>
        </w:rPr>
        <w:t>, con dai dati dell’</w:t>
      </w:r>
      <w:r>
        <w:rPr>
          <w:rFonts w:cs="Arial" w:ascii="Arial" w:hAnsi="Arial"/>
          <w:b/>
          <w:bCs/>
          <w:color w:val="000000"/>
          <w:sz w:val="20"/>
          <w:szCs w:val="20"/>
        </w:rPr>
        <w:t>Osservatorio Nomisma Wine Monitor</w:t>
      </w:r>
      <w:r>
        <w:rPr>
          <w:rFonts w:cs="Arial" w:ascii="Arial" w:hAnsi="Arial"/>
          <w:color w:val="000000"/>
          <w:sz w:val="20"/>
          <w:szCs w:val="20"/>
        </w:rPr>
        <w:t> e con </w:t>
      </w:r>
      <w:r>
        <w:rPr>
          <w:rFonts w:cs="Arial" w:ascii="Arial" w:hAnsi="Arial"/>
          <w:b/>
          <w:bCs/>
          <w:color w:val="000000"/>
          <w:sz w:val="20"/>
          <w:szCs w:val="20"/>
        </w:rPr>
        <w:t>Wine Meridian</w:t>
      </w:r>
      <w:r>
        <w:rPr>
          <w:rFonts w:cs="Arial" w:ascii="Arial" w:hAnsi="Arial"/>
          <w:color w:val="000000"/>
          <w:sz w:val="20"/>
          <w:szCs w:val="20"/>
        </w:rPr>
        <w:t>, mentre di </w:t>
      </w:r>
      <w:r>
        <w:rPr>
          <w:rFonts w:cs="Arial" w:ascii="Arial" w:hAnsi="Arial"/>
          <w:b/>
          <w:bCs/>
          <w:color w:val="000000"/>
          <w:sz w:val="20"/>
          <w:szCs w:val="20"/>
        </w:rPr>
        <w:t>Sostenibilità </w:t>
      </w:r>
      <w:r>
        <w:rPr>
          <w:rFonts w:cs="Arial" w:ascii="Arial" w:hAnsi="Arial"/>
          <w:color w:val="000000"/>
          <w:sz w:val="20"/>
          <w:szCs w:val="20"/>
        </w:rPr>
        <w:t>e turismo enogastronomico si parlerà con </w:t>
      </w:r>
      <w:r>
        <w:rPr>
          <w:rFonts w:cs="Arial" w:ascii="Arial" w:hAnsi="Arial"/>
          <w:b/>
          <w:bCs/>
          <w:color w:val="000000"/>
          <w:sz w:val="20"/>
          <w:szCs w:val="20"/>
        </w:rPr>
        <w:t>Alex Giordano</w:t>
      </w:r>
      <w:r>
        <w:rPr>
          <w:rFonts w:cs="Arial" w:ascii="Arial" w:hAnsi="Arial"/>
          <w:color w:val="000000"/>
          <w:sz w:val="20"/>
          <w:szCs w:val="20"/>
        </w:rPr>
        <w:t>, autore di FoodSystem 5.0 e </w:t>
      </w:r>
      <w:r>
        <w:rPr>
          <w:rFonts w:cs="Arial" w:ascii="Arial" w:hAnsi="Arial"/>
          <w:b/>
          <w:bCs/>
          <w:color w:val="000000"/>
          <w:sz w:val="20"/>
          <w:szCs w:val="20"/>
        </w:rPr>
        <w:t>Roberta Garibaldi</w:t>
      </w:r>
      <w:r>
        <w:rPr>
          <w:rFonts w:cs="Arial" w:ascii="Arial" w:hAnsi="Arial"/>
          <w:color w:val="000000"/>
          <w:sz w:val="20"/>
          <w:szCs w:val="20"/>
        </w:rPr>
        <w:t>, autrice del “Rapporto Turismo Enogastronomico e Sostenibilità”. Parleremo molto di ristorazione con </w:t>
      </w:r>
      <w:r>
        <w:rPr>
          <w:rFonts w:cs="Arial" w:ascii="Arial" w:hAnsi="Arial"/>
          <w:b/>
          <w:bCs/>
          <w:color w:val="000000"/>
          <w:sz w:val="20"/>
          <w:szCs w:val="20"/>
        </w:rPr>
        <w:t>Alberto Lupini,</w:t>
      </w:r>
      <w:r>
        <w:rPr>
          <w:rFonts w:cs="Arial" w:ascii="Arial" w:hAnsi="Arial"/>
          <w:color w:val="000000"/>
          <w:sz w:val="20"/>
          <w:szCs w:val="20"/>
        </w:rPr>
        <w:t> direttore Italia a Tavola, </w:t>
      </w:r>
      <w:r>
        <w:rPr>
          <w:rFonts w:cs="Arial" w:ascii="Arial" w:hAnsi="Arial"/>
          <w:b/>
          <w:bCs/>
          <w:color w:val="000000"/>
          <w:sz w:val="20"/>
          <w:szCs w:val="20"/>
        </w:rPr>
        <w:t>Fondazione Barilla</w:t>
      </w:r>
      <w:r>
        <w:rPr>
          <w:rFonts w:cs="Arial" w:ascii="Arial" w:hAnsi="Arial"/>
          <w:color w:val="000000"/>
          <w:sz w:val="20"/>
          <w:szCs w:val="20"/>
        </w:rPr>
        <w:t> e </w:t>
      </w:r>
      <w:r>
        <w:rPr>
          <w:rFonts w:cs="Arial" w:ascii="Arial" w:hAnsi="Arial"/>
          <w:b/>
          <w:bCs/>
          <w:color w:val="000000"/>
          <w:sz w:val="20"/>
          <w:szCs w:val="20"/>
        </w:rPr>
        <w:t>Alma</w:t>
      </w:r>
      <w:r>
        <w:rPr>
          <w:rFonts w:cs="Arial" w:ascii="Arial" w:hAnsi="Arial"/>
          <w:color w:val="000000"/>
          <w:sz w:val="20"/>
          <w:szCs w:val="20"/>
        </w:rPr>
        <w:t> (Scuola Internazionale Di Cucina Italiana); con </w:t>
      </w:r>
      <w:r>
        <w:rPr>
          <w:rFonts w:cs="Arial" w:ascii="Arial" w:hAnsi="Arial"/>
          <w:b/>
          <w:bCs/>
          <w:color w:val="000000"/>
          <w:sz w:val="20"/>
          <w:szCs w:val="20"/>
        </w:rPr>
        <w:t>The Fork</w:t>
      </w:r>
      <w:r>
        <w:rPr>
          <w:rFonts w:cs="Arial" w:ascii="Arial" w:hAnsi="Arial"/>
          <w:color w:val="000000"/>
          <w:sz w:val="20"/>
          <w:szCs w:val="20"/>
        </w:rPr>
        <w:t> affronteremo il problema del “no show”. Infine, </w:t>
      </w:r>
      <w:r>
        <w:rPr>
          <w:rFonts w:cs="Arial" w:ascii="Arial" w:hAnsi="Arial"/>
          <w:b/>
          <w:bCs/>
          <w:color w:val="000000"/>
          <w:sz w:val="20"/>
          <w:szCs w:val="20"/>
        </w:rPr>
        <w:t>Mastercard </w:t>
      </w:r>
      <w:r>
        <w:rPr>
          <w:rFonts w:cs="Arial" w:ascii="Arial" w:hAnsi="Arial"/>
          <w:color w:val="000000"/>
          <w:sz w:val="20"/>
          <w:szCs w:val="20"/>
        </w:rPr>
        <w:t xml:space="preserve">porterà una ricerca su dati e tendenze di consumo proprio nella ristorazione. Qui è atteso, tra gli altri, </w:t>
      </w:r>
      <w:r>
        <w:rPr>
          <w:rFonts w:cs="Arial" w:ascii="Arial" w:hAnsi="Arial"/>
          <w:b/>
          <w:bCs/>
          <w:color w:val="000000"/>
          <w:sz w:val="20"/>
          <w:szCs w:val="20"/>
        </w:rPr>
        <w:t>Carlo Alberto Carnevale Maffè</w:t>
      </w:r>
      <w:r>
        <w:rPr>
          <w:rFonts w:cs="Arial" w:ascii="Arial" w:hAnsi="Arial"/>
          <w:color w:val="000000"/>
          <w:sz w:val="20"/>
          <w:szCs w:val="20"/>
        </w:rPr>
        <w:t>, docente SDA Bocconi School of Management e presidente Fondazione Riccagioia.</w:t>
      </w:r>
    </w:p>
    <w:p>
      <w:pPr>
        <w:pStyle w:val="Normal"/>
        <w:spacing w:before="0" w:after="120"/>
        <w:jc w:val="both"/>
        <w:rPr>
          <w:rFonts w:ascii="Arial" w:hAnsi="Arial" w:cs="Arial"/>
          <w:color w:val="000000" w:themeColor="text1"/>
          <w:sz w:val="20"/>
          <w:szCs w:val="20"/>
        </w:rPr>
      </w:pPr>
      <w:r>
        <w:rPr>
          <w:rFonts w:cs="Arial" w:ascii="Arial" w:hAnsi="Arial"/>
          <w:b/>
          <w:bCs/>
          <w:color w:val="000000"/>
          <w:sz w:val="20"/>
          <w:szCs w:val="20"/>
        </w:rPr>
        <w:t>Hospitality</w:t>
      </w:r>
      <w:r>
        <w:rPr>
          <w:rFonts w:cs="Arial" w:ascii="Arial" w:hAnsi="Arial"/>
          <w:color w:val="000000"/>
          <w:sz w:val="20"/>
          <w:szCs w:val="20"/>
        </w:rPr>
        <w:t xml:space="preserve">. </w:t>
      </w:r>
      <w:r>
        <w:rPr>
          <w:rFonts w:cs="Arial" w:ascii="Arial" w:hAnsi="Arial"/>
          <w:color w:val="000000"/>
          <w:sz w:val="20"/>
          <w:szCs w:val="20"/>
          <w:shd w:fill="FFFFFF" w:val="clear"/>
        </w:rPr>
        <w:t>L’area tematica curata da </w:t>
      </w:r>
      <w:r>
        <w:rPr>
          <w:rFonts w:cs="Arial" w:ascii="Arial" w:hAnsi="Arial"/>
          <w:b/>
          <w:bCs/>
          <w:color w:val="000000"/>
          <w:sz w:val="20"/>
          <w:szCs w:val="20"/>
          <w:shd w:fill="FFFFFF" w:val="clear"/>
        </w:rPr>
        <w:t>Nicola Zoppi</w:t>
      </w:r>
      <w:r>
        <w:rPr>
          <w:rFonts w:cs="Arial" w:ascii="Arial" w:hAnsi="Arial"/>
          <w:color w:val="000000"/>
          <w:sz w:val="20"/>
          <w:szCs w:val="20"/>
          <w:shd w:fill="FFFFFF" w:val="clear"/>
        </w:rPr>
        <w:t> vedrà tra i relatori </w:t>
      </w:r>
      <w:r>
        <w:rPr>
          <w:rFonts w:cs="Arial" w:ascii="Arial" w:hAnsi="Arial"/>
          <w:b/>
          <w:bCs/>
          <w:color w:val="000000"/>
          <w:sz w:val="20"/>
          <w:szCs w:val="20"/>
          <w:shd w:fill="FFFFFF" w:val="clear"/>
        </w:rPr>
        <w:t>Alessandro Callari</w:t>
      </w:r>
      <w:r>
        <w:rPr>
          <w:rFonts w:cs="Arial" w:ascii="Arial" w:hAnsi="Arial"/>
          <w:color w:val="000000"/>
          <w:sz w:val="20"/>
          <w:szCs w:val="20"/>
          <w:shd w:fill="FFFFFF" w:val="clear"/>
        </w:rPr>
        <w:t>, regional manager di </w:t>
      </w:r>
      <w:r>
        <w:rPr>
          <w:rFonts w:cs="Arial" w:ascii="Arial" w:hAnsi="Arial"/>
          <w:b/>
          <w:bCs/>
          <w:color w:val="000000"/>
          <w:sz w:val="20"/>
          <w:szCs w:val="20"/>
          <w:shd w:fill="FFFFFF" w:val="clear"/>
        </w:rPr>
        <w:t>Booking.com</w:t>
      </w:r>
      <w:r>
        <w:rPr>
          <w:rFonts w:cs="Arial" w:ascii="Arial" w:hAnsi="Arial"/>
          <w:color w:val="000000"/>
          <w:sz w:val="20"/>
          <w:szCs w:val="20"/>
          <w:shd w:fill="FFFFFF" w:val="clear"/>
        </w:rPr>
        <w:t> protagonista di un “panel ring” per discutere della funzione della piattaforma come sito di prenotazioni e come strumento di marketing. Si parlerà anche di tematiche attuali quali la difficoltà di reperire personale qualificato per l’industria dell’ospitalità, insieme a </w:t>
      </w:r>
      <w:r>
        <w:rPr>
          <w:rFonts w:cs="Arial" w:ascii="Arial" w:hAnsi="Arial"/>
          <w:b/>
          <w:bCs/>
          <w:color w:val="000000"/>
          <w:sz w:val="20"/>
          <w:szCs w:val="20"/>
          <w:shd w:fill="FFFFFF" w:val="clear"/>
        </w:rPr>
        <w:t>Federalberghi, Confindustria e Confesercenti </w:t>
      </w:r>
      <w:r>
        <w:rPr>
          <w:rFonts w:cs="Arial" w:ascii="Arial" w:hAnsi="Arial"/>
          <w:color w:val="000000"/>
          <w:sz w:val="20"/>
          <w:szCs w:val="20"/>
          <w:shd w:fill="FFFFFF" w:val="clear"/>
        </w:rPr>
        <w:t>e di come l’IA possa fornire il proprio contributo. L’AI sta, infatti, già offrendo supporto in vari settori dell'hospitality: dalle semplificazioni nel processo di prenotazione degli utenti, alla personalizzazione delle offerte in base ai dati storici degli ospiti, fino alle semplificazioni di gestione delle risposte alle recensioni e poi alla robotica in azienda. </w:t>
      </w:r>
    </w:p>
    <w:p>
      <w:pPr>
        <w:pStyle w:val="Normal"/>
        <w:spacing w:before="0" w:after="120"/>
        <w:jc w:val="both"/>
        <w:rPr>
          <w:rFonts w:ascii="Arial" w:hAnsi="Arial" w:cs="Arial"/>
          <w:color w:val="222222"/>
          <w:sz w:val="20"/>
          <w:szCs w:val="20"/>
          <w:highlight w:val="white"/>
        </w:rPr>
      </w:pPr>
      <w:r>
        <w:rPr>
          <w:rFonts w:cs="Arial" w:ascii="Arial" w:hAnsi="Arial"/>
          <w:b/>
          <w:bCs/>
          <w:color w:val="222222"/>
          <w:sz w:val="20"/>
          <w:szCs w:val="20"/>
          <w:shd w:fill="FFFFFF" w:val="clear"/>
        </w:rPr>
        <w:t>Partnership</w:t>
      </w:r>
      <w:r>
        <w:rPr>
          <w:rFonts w:cs="Arial" w:ascii="Arial" w:hAnsi="Arial"/>
          <w:color w:val="222222"/>
          <w:sz w:val="20"/>
          <w:szCs w:val="20"/>
          <w:shd w:fill="FFFFFF" w:val="clear"/>
        </w:rPr>
        <w:t>. BTO consolida e amplia le partnership scientifiche. Tra queste: la Società Italiana Marketing, SIMktg, CST, Centro Studi Turistici, Alma, Scuola Internazionale Di Cucina Italiana, Slow Food Italia; Hospitality, Salone dell’Accoglienza a Riva del Garda, ADUTEI, Associazione Delegati Ufficiali del Turismo Estero, Scuola Italiana Turismo, Destination Makers, Veronafiere, Nomisma, Conferenza Delle Regioni e delle Province Autonome. A queste si aggiungono le partnership di settore con: </w:t>
      </w:r>
      <w:r>
        <w:rPr>
          <w:rFonts w:cs="Arial" w:ascii="Arial" w:hAnsi="Arial"/>
          <w:b/>
          <w:bCs/>
          <w:color w:val="222222"/>
          <w:sz w:val="20"/>
          <w:szCs w:val="20"/>
          <w:shd w:fill="FFFFFF" w:val="clear"/>
        </w:rPr>
        <w:t>ENIT - Agenzia Nazionale del Turismo, Confindustria Alberghi, Federalberghi, Confesercenti, Assoturismo, EDI Confcommercio </w:t>
      </w:r>
      <w:r>
        <w:rPr>
          <w:rFonts w:cs="Arial" w:ascii="Arial" w:hAnsi="Arial"/>
          <w:color w:val="222222"/>
          <w:sz w:val="20"/>
          <w:szCs w:val="20"/>
          <w:shd w:fill="FFFFFF" w:val="clear"/>
        </w:rPr>
        <w:t>(Ecosistema Digitale per l’Innovazione). </w:t>
      </w:r>
    </w:p>
    <w:p>
      <w:pPr>
        <w:pStyle w:val="Normal"/>
        <w:spacing w:before="0" w:after="120"/>
        <w:jc w:val="both"/>
        <w:rPr>
          <w:rFonts w:ascii="Arial" w:hAnsi="Arial" w:cs="Arial"/>
          <w:color w:val="000000" w:themeColor="text1"/>
          <w:sz w:val="20"/>
          <w:szCs w:val="20"/>
          <w:highlight w:val="white"/>
        </w:rPr>
      </w:pPr>
      <w:r>
        <w:rPr>
          <w:rFonts w:eastAsia="Helvetica Neue" w:cs="Arial" w:ascii="Arial" w:hAnsi="Arial"/>
          <w:color w:val="000000" w:themeColor="text1"/>
          <w:sz w:val="20"/>
          <w:szCs w:val="20"/>
        </w:rPr>
        <w:t>Infine, anche quest’anno torna a BTO</w:t>
      </w:r>
      <w:r>
        <w:rPr>
          <w:rFonts w:eastAsia="Helvetica Neue" w:cs="Arial" w:ascii="Arial" w:hAnsi="Arial"/>
          <w:b/>
          <w:bCs/>
          <w:color w:val="000000" w:themeColor="text1"/>
          <w:sz w:val="20"/>
          <w:szCs w:val="20"/>
        </w:rPr>
        <w:t xml:space="preserve"> “Italy Ambassador Awards”</w:t>
      </w:r>
      <w:r>
        <w:rPr>
          <w:rFonts w:eastAsia="Helvetica Neue" w:cs="Arial" w:ascii="Arial" w:hAnsi="Arial"/>
          <w:color w:val="000000" w:themeColor="text1"/>
          <w:sz w:val="20"/>
          <w:szCs w:val="20"/>
        </w:rPr>
        <w:t xml:space="preserve"> (IAW) il primo premio italiano per i migliori influencer, content creator e blogger che promuovono l'Italia. </w:t>
      </w:r>
      <w:r>
        <w:rPr>
          <w:rFonts w:cs="Arial" w:ascii="Arial" w:hAnsi="Arial"/>
          <w:color w:val="000000" w:themeColor="text1"/>
          <w:sz w:val="20"/>
          <w:szCs w:val="20"/>
          <w:shd w:fill="FFFFFF" w:val="clear"/>
        </w:rPr>
        <w:t>I riconoscimenti vengono assegnati in cinque categorie: Travel, Food &amp; Beverage, Fashion, Beauty &amp; Spa e Luxury Lifestyle. </w:t>
      </w:r>
    </w:p>
    <w:p>
      <w:pPr>
        <w:pStyle w:val="Normal"/>
        <w:jc w:val="both"/>
        <w:rPr>
          <w:rFonts w:ascii="Arial" w:hAnsi="Arial" w:cs="Arial"/>
          <w:color w:val="222222"/>
          <w:sz w:val="20"/>
          <w:szCs w:val="20"/>
          <w:highlight w:val="white"/>
        </w:rPr>
      </w:pPr>
      <w:r>
        <w:rPr>
          <w:rFonts w:cs="Arial" w:ascii="Arial" w:hAnsi="Arial"/>
          <w:sz w:val="20"/>
          <w:szCs w:val="20"/>
          <w14:textOutline w14:w="0" w14:cap="flat" w14:cmpd="sng" w14:algn="ctr">
            <w14:noFill/>
            <w14:prstDash w14:val="solid"/>
            <w14:bevel/>
          </w14:textOutline>
        </w:rPr>
        <w:t xml:space="preserve">Info e acquisto ticket: </w:t>
      </w:r>
      <w:hyperlink r:id="rId2">
        <w:r>
          <w:rPr>
            <w:rStyle w:val="CollegamentoInternet"/>
            <w:rFonts w:cs="Arial" w:ascii="Arial" w:hAnsi="Arial"/>
            <w:sz w:val="20"/>
            <w:szCs w:val="20"/>
            <w14:textOutline w14:w="0" w14:cap="flat" w14:cmpd="sng" w14:algn="ctr">
              <w14:noFill/>
              <w14:prstDash w14:val="solid"/>
              <w14:bevel/>
            </w14:textOutline>
          </w:rPr>
          <w:t>https://www.bto.travel/</w:t>
        </w:r>
      </w:hyperlink>
    </w:p>
    <w:p>
      <w:pPr>
        <w:pStyle w:val="Normal"/>
        <w:jc w:val="both"/>
        <w:rPr>
          <w:rFonts w:ascii="Arial" w:hAnsi="Arial" w:cs="Arial"/>
          <w:color w:val="222222"/>
          <w:sz w:val="20"/>
          <w:szCs w:val="20"/>
          <w:highlight w:val="white"/>
        </w:rPr>
      </w:pPr>
      <w:r>
        <w:rPr>
          <w:rFonts w:cs="Arial" w:ascii="Arial" w:hAnsi="Arial"/>
          <w:color w:val="222222"/>
          <w:sz w:val="20"/>
          <w:szCs w:val="20"/>
          <w:shd w:fill="FFFFFF" w:val="clear"/>
        </w:rPr>
      </w:r>
    </w:p>
    <w:p>
      <w:pPr>
        <w:pStyle w:val="Normal"/>
        <w:jc w:val="both"/>
        <w:rPr>
          <w:rFonts w:ascii="Arial" w:hAnsi="Arial" w:cs="Arial"/>
          <w:color w:val="222222"/>
          <w:sz w:val="20"/>
          <w:szCs w:val="20"/>
          <w:highlight w:val="white"/>
        </w:rPr>
      </w:pPr>
      <w:r>
        <w:rPr>
          <w:rFonts w:cs="Arial" w:ascii="Arial" w:hAnsi="Arial"/>
          <w:b/>
          <w:bCs/>
          <w:sz w:val="20"/>
          <w:szCs w:val="20"/>
          <w14:textOutline w14:w="0" w14:cap="flat" w14:cmpd="sng" w14:algn="ctr">
            <w14:noFill/>
            <w14:prstDash w14:val="solid"/>
            <w14:bevel/>
          </w14:textOutline>
        </w:rPr>
        <w:t>Main Sponsor BTO2023:</w:t>
      </w:r>
      <w:r>
        <w:rPr>
          <w:rFonts w:cs="Arial" w:ascii="Arial" w:hAnsi="Arial"/>
          <w:sz w:val="20"/>
          <w:szCs w:val="20"/>
          <w14:textOutline w14:w="0" w14:cap="flat" w14:cmpd="sng" w14:algn="ctr">
            <w14:noFill/>
            <w14:prstDash w14:val="solid"/>
            <w14:bevel/>
          </w14:textOutline>
        </w:rPr>
        <w:t xml:space="preserve"> WineAround, Regione Siciliana, Viaggio Italiano, The Data Appeal Company - Gruppo Almawave.</w:t>
      </w:r>
    </w:p>
    <w:p>
      <w:pPr>
        <w:pStyle w:val="Normal"/>
        <w:jc w:val="both"/>
        <w:rPr>
          <w:rFonts w:ascii="Arial" w:hAnsi="Arial" w:cs="Arial"/>
          <w:sz w:val="20"/>
          <w:szCs w:val="20"/>
          <w14:textOutline w14:w="0" w14:cap="flat" w14:cmpd="sng" w14:algn="ctr">
            <w14:noFill/>
            <w14:prstDash w14:val="solid"/>
            <w14:bevel/>
          </w14:textOutline>
        </w:rPr>
      </w:pPr>
      <w:r>
        <w:rPr>
          <w:rFonts w:cs="Arial" w:ascii="Arial" w:hAnsi="Arial"/>
          <w:sz w:val="20"/>
          <w:szCs w:val="20"/>
          <w14:textOutline w14:w="0" w14:cap="flat" w14:cmpd="sng" w14:algn="ctr">
            <w14:noFill/>
            <w14:prstDash w14:val="solid"/>
            <w14:bevel/>
          </w14:textOutline>
        </w:rPr>
      </w:r>
    </w:p>
    <w:p>
      <w:pPr>
        <w:pStyle w:val="Normal"/>
        <w:jc w:val="both"/>
        <w:rPr>
          <w:rFonts w:ascii="Arial" w:hAnsi="Arial" w:cs="Arial"/>
          <w:sz w:val="20"/>
          <w:szCs w:val="20"/>
          <w14:textOutline w14:w="0" w14:cap="flat" w14:cmpd="sng" w14:algn="ctr">
            <w14:noFill/>
            <w14:prstDash w14:val="solid"/>
            <w14:bevel/>
          </w14:textOutline>
        </w:rPr>
      </w:pPr>
      <w:r>
        <w:rPr>
          <w:rFonts w:cs="Arial" w:ascii="Arial" w:hAnsi="Arial"/>
          <w:b/>
          <w:bCs/>
          <w:sz w:val="20"/>
          <w:szCs w:val="20"/>
          <w14:textOutline w14:w="0" w14:cap="flat" w14:cmpd="sng" w14:algn="ctr">
            <w14:noFill/>
            <w14:prstDash w14:val="solid"/>
            <w14:bevel/>
          </w14:textOutline>
        </w:rPr>
        <w:t>Media Partner BTO2023:</w:t>
      </w:r>
      <w:r>
        <w:rPr>
          <w:rFonts w:cs="Arial" w:ascii="Arial" w:hAnsi="Arial"/>
          <w:sz w:val="20"/>
          <w:szCs w:val="20"/>
          <w14:textOutline w14:w="0" w14:cap="flat" w14:cmpd="sng" w14:algn="ctr">
            <w14:noFill/>
            <w14:prstDash w14:val="solid"/>
            <w14:bevel/>
          </w14:textOutline>
        </w:rPr>
        <w:t xml:space="preserve"> Turismo&amp;Attualità, Trend, Guida Viaggi, Travel Quotidiano, L’Agenzia di Viaggi, Quality Travel, Travel World, Italian Absolutely, Wine Meridian, Giornale Radio, intoscana.it</w:t>
      </w:r>
    </w:p>
    <w:p>
      <w:pPr>
        <w:pStyle w:val="Normal"/>
        <w:jc w:val="both"/>
        <w:rPr>
          <w:rFonts w:ascii="Arial" w:hAnsi="Arial" w:eastAsia="Helvetica Neue" w:cs="Arial"/>
          <w:sz w:val="20"/>
          <w:szCs w:val="20"/>
        </w:rPr>
      </w:pPr>
      <w:r>
        <w:rPr>
          <w:rFonts w:eastAsia="Helvetica Neue" w:cs="Arial" w:ascii="Arial" w:hAnsi="Arial"/>
          <w:sz w:val="20"/>
          <w:szCs w:val="20"/>
        </w:rPr>
      </w:r>
    </w:p>
    <w:p>
      <w:pPr>
        <w:pStyle w:val="Normal"/>
        <w:spacing w:lineRule="auto" w:line="120"/>
        <w:jc w:val="both"/>
        <w:rPr>
          <w:rFonts w:ascii="Arial" w:hAnsi="Arial" w:cs="Arial"/>
          <w:b/>
          <w:b/>
          <w:bCs/>
          <w:color w:val="000000"/>
          <w:sz w:val="20"/>
          <w:szCs w:val="20"/>
        </w:rPr>
      </w:pPr>
      <w:r>
        <w:rPr>
          <w:rFonts w:cs="Arial" w:ascii="Arial" w:hAnsi="Arial"/>
          <w:b/>
          <w:bCs/>
          <w:color w:val="000000"/>
          <w:sz w:val="20"/>
          <w:szCs w:val="20"/>
        </w:rPr>
      </w:r>
    </w:p>
    <w:p>
      <w:pPr>
        <w:pStyle w:val="Normal"/>
        <w:jc w:val="both"/>
        <w:rPr>
          <w:rFonts w:ascii="Arial" w:hAnsi="Arial" w:cs="Arial"/>
          <w:color w:val="000000"/>
          <w:sz w:val="20"/>
          <w:szCs w:val="20"/>
        </w:rPr>
      </w:pPr>
      <w:r>
        <w:rPr>
          <w:rFonts w:cs="Arial" w:ascii="Arial" w:hAnsi="Arial"/>
          <w:b/>
          <w:bCs/>
          <w:color w:val="000000"/>
          <w:sz w:val="20"/>
          <w:szCs w:val="20"/>
        </w:rPr>
        <w:t>Contatti ufficio Stampa</w:t>
      </w:r>
    </w:p>
    <w:p>
      <w:pPr>
        <w:pStyle w:val="Normal"/>
        <w:jc w:val="both"/>
        <w:rPr>
          <w:rFonts w:ascii="Arial" w:hAnsi="Arial" w:cs="Arial"/>
          <w:color w:val="000000"/>
          <w:sz w:val="20"/>
          <w:szCs w:val="20"/>
        </w:rPr>
      </w:pPr>
      <w:r>
        <w:rPr>
          <w:rFonts w:cs="Arial" w:ascii="Arial" w:hAnsi="Arial"/>
          <w:color w:val="000000"/>
          <w:sz w:val="20"/>
          <w:szCs w:val="20"/>
        </w:rPr>
        <w:t>Mariangela Della Monica – Fondazione Sistema Toscana - m.dellamonica@fst.it - 334 6606721</w:t>
      </w:r>
    </w:p>
    <w:p>
      <w:pPr>
        <w:pStyle w:val="Normal"/>
        <w:jc w:val="both"/>
        <w:rPr>
          <w:rFonts w:ascii="Arial" w:hAnsi="Arial" w:cs="Arial"/>
          <w:color w:val="000000"/>
          <w:sz w:val="20"/>
          <w:szCs w:val="20"/>
        </w:rPr>
      </w:pPr>
      <w:r>
        <w:rPr>
          <w:rFonts w:cs="Arial" w:ascii="Arial" w:hAnsi="Arial"/>
          <w:color w:val="000000"/>
          <w:sz w:val="20"/>
          <w:szCs w:val="20"/>
        </w:rPr>
        <w:t xml:space="preserve">Con The Gate Communication - Valerio Tavani – valerio@the-gate.it - 339 6290620 </w:t>
      </w:r>
    </w:p>
    <w:p>
      <w:pPr>
        <w:pStyle w:val="Normal"/>
        <w:jc w:val="both"/>
        <w:rPr>
          <w:rFonts w:ascii="Arial" w:hAnsi="Arial" w:cs="Arial"/>
          <w:color w:val="000000"/>
          <w:sz w:val="20"/>
          <w:szCs w:val="20"/>
        </w:rPr>
      </w:pPr>
      <w:r>
        <w:rPr>
          <w:rFonts w:cs="Arial" w:ascii="Arial" w:hAnsi="Arial"/>
          <w:color w:val="000000"/>
          <w:sz w:val="20"/>
          <w:szCs w:val="20"/>
        </w:rPr>
        <w:t xml:space="preserve">Chiarello Puliti &amp; Partners – Francesca Puliti – </w:t>
      </w:r>
      <w:hyperlink r:id="rId3">
        <w:r>
          <w:rPr>
            <w:rStyle w:val="CollegamentoInternet"/>
            <w:rFonts w:cs="Arial" w:ascii="Arial" w:hAnsi="Arial"/>
            <w:sz w:val="20"/>
            <w:szCs w:val="20"/>
          </w:rPr>
          <w:t>press@chiarellopulitipartners.com</w:t>
        </w:r>
      </w:hyperlink>
      <w:r>
        <w:rPr>
          <w:rFonts w:cs="Arial" w:ascii="Arial" w:hAnsi="Arial"/>
          <w:color w:val="000000"/>
          <w:sz w:val="20"/>
          <w:szCs w:val="20"/>
        </w:rPr>
        <w:t xml:space="preserve"> – 392 9475467</w:t>
      </w:r>
    </w:p>
    <w:p>
      <w:pPr>
        <w:pStyle w:val="Normal"/>
        <w:jc w:val="both"/>
        <w:rPr>
          <w:rFonts w:ascii="Arial" w:hAnsi="Arial" w:cs="Arial"/>
          <w:color w:val="000000"/>
          <w:sz w:val="20"/>
          <w:szCs w:val="20"/>
        </w:rPr>
      </w:pPr>
      <w:r>
        <w:rPr>
          <w:rFonts w:cs="Arial" w:ascii="Arial" w:hAnsi="Arial"/>
          <w:color w:val="000000"/>
          <w:sz w:val="20"/>
          <w:szCs w:val="20"/>
        </w:rPr>
      </w:r>
    </w:p>
    <w:p>
      <w:pPr>
        <w:pStyle w:val="Normal"/>
        <w:jc w:val="both"/>
        <w:rPr>
          <w:rFonts w:ascii="Arial" w:hAnsi="Arial" w:cs="Arial"/>
          <w:color w:val="000000"/>
          <w:sz w:val="20"/>
          <w:szCs w:val="20"/>
        </w:rPr>
      </w:pPr>
      <w:r>
        <w:rPr>
          <w:rFonts w:cs="Arial" w:ascii="Arial" w:hAnsi="Arial"/>
          <w:color w:val="000000"/>
          <w:sz w:val="20"/>
          <w:szCs w:val="20"/>
        </w:rPr>
      </w:r>
    </w:p>
    <w:p>
      <w:pPr>
        <w:pStyle w:val="Normal"/>
        <w:jc w:val="both"/>
        <w:rPr>
          <w:rFonts w:ascii="Arial" w:hAnsi="Arial" w:cs="Arial"/>
          <w:color w:val="000000"/>
          <w:sz w:val="20"/>
          <w:szCs w:val="20"/>
        </w:rPr>
      </w:pPr>
      <w:r>
        <w:rPr/>
        <w:drawing>
          <wp:anchor behindDoc="0" distT="0" distB="0" distL="114300" distR="114300" simplePos="0" locked="0" layoutInCell="1" allowOverlap="1" relativeHeight="2">
            <wp:simplePos x="0" y="0"/>
            <wp:positionH relativeFrom="margin">
              <wp:posOffset>2270760</wp:posOffset>
            </wp:positionH>
            <wp:positionV relativeFrom="paragraph">
              <wp:posOffset>115570</wp:posOffset>
            </wp:positionV>
            <wp:extent cx="1633855" cy="1644015"/>
            <wp:effectExtent l="0" t="0" r="0" b="0"/>
            <wp:wrapSquare wrapText="bothSides"/>
            <wp:docPr id="1" name="Immagine 3" descr="Immagine che contiene Elementi grafici, Carattere, grafica, ross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3" descr="Immagine che contiene Elementi grafici, Carattere, grafica, rosso&#10;&#10;Descrizione generata automaticamente"/>
                    <pic:cNvPicPr>
                      <a:picLocks noChangeAspect="1" noChangeArrowheads="1"/>
                    </pic:cNvPicPr>
                  </pic:nvPicPr>
                  <pic:blipFill>
                    <a:blip r:embed="rId4"/>
                    <a:srcRect l="2081" t="1279" r="1546" b="1279"/>
                    <a:stretch>
                      <a:fillRect/>
                    </a:stretch>
                  </pic:blipFill>
                  <pic:spPr bwMode="auto">
                    <a:xfrm>
                      <a:off x="0" y="0"/>
                      <a:ext cx="1633855" cy="1644015"/>
                    </a:xfrm>
                    <a:prstGeom prst="rect">
                      <a:avLst/>
                    </a:prstGeom>
                  </pic:spPr>
                </pic:pic>
              </a:graphicData>
            </a:graphic>
          </wp:anchor>
        </w:drawing>
      </w:r>
    </w:p>
    <w:sectPr>
      <w:headerReference w:type="default" r:id="rId5"/>
      <w:footerReference w:type="default" r:id="rId6"/>
      <w:type w:val="nextPage"/>
      <w:pgSz w:w="11906" w:h="16838"/>
      <w:pgMar w:left="1077" w:right="1021" w:header="1191" w:top="1588" w:footer="0"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pPr>
    <w:r>
      <w:rPr/>
      <w:drawing>
        <wp:anchor behindDoc="1" distT="114300" distB="114300" distL="114300" distR="114300" simplePos="0" locked="0" layoutInCell="1" allowOverlap="1" relativeHeight="8">
          <wp:simplePos x="0" y="0"/>
          <wp:positionH relativeFrom="page">
            <wp:posOffset>0</wp:posOffset>
          </wp:positionH>
          <wp:positionV relativeFrom="paragraph">
            <wp:posOffset>-268605</wp:posOffset>
          </wp:positionV>
          <wp:extent cx="7552690" cy="422910"/>
          <wp:effectExtent l="0" t="0" r="0" b="0"/>
          <wp:wrapTopAndBottom/>
          <wp:docPr id="3" name="Immagine 14666997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1466699735" descr=""/>
                  <pic:cNvPicPr>
                    <a:picLocks noChangeAspect="1" noChangeArrowheads="1"/>
                  </pic:cNvPicPr>
                </pic:nvPicPr>
                <pic:blipFill>
                  <a:blip r:embed="rId1"/>
                  <a:srcRect l="0" t="48328" r="0" b="24835"/>
                  <a:stretch>
                    <a:fillRect/>
                  </a:stretch>
                </pic:blipFill>
                <pic:spPr bwMode="auto">
                  <a:xfrm>
                    <a:off x="0" y="0"/>
                    <a:ext cx="7552690" cy="422910"/>
                  </a:xfrm>
                  <a:prstGeom prst="rect">
                    <a:avLst/>
                  </a:prstGeom>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drawing>
        <wp:anchor behindDoc="1" distT="0" distB="0" distL="0" distR="0" simplePos="0" locked="0" layoutInCell="1" allowOverlap="1" relativeHeight="5">
          <wp:simplePos x="0" y="0"/>
          <wp:positionH relativeFrom="page">
            <wp:posOffset>6350</wp:posOffset>
          </wp:positionH>
          <wp:positionV relativeFrom="page">
            <wp:posOffset>66675</wp:posOffset>
          </wp:positionV>
          <wp:extent cx="7556500" cy="936625"/>
          <wp:effectExtent l="0" t="0" r="0" b="0"/>
          <wp:wrapNone/>
          <wp:docPr id="2" name="Immagine 174757914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1747579149" descr=""/>
                  <pic:cNvPicPr>
                    <a:picLocks noChangeAspect="1" noChangeArrowheads="1"/>
                  </pic:cNvPicPr>
                </pic:nvPicPr>
                <pic:blipFill>
                  <a:blip r:embed="rId1"/>
                  <a:srcRect l="614" t="16566" r="-614" b="0"/>
                  <a:stretch>
                    <a:fillRect/>
                  </a:stretch>
                </pic:blipFill>
                <pic:spPr bwMode="auto">
                  <a:xfrm>
                    <a:off x="0" y="0"/>
                    <a:ext cx="7556500" cy="936625"/>
                  </a:xfrm>
                  <a:prstGeom prst="rect">
                    <a:avLst/>
                  </a:prstGeom>
                </pic:spPr>
              </pic:pic>
            </a:graphicData>
          </a:graphic>
        </wp:anchor>
      </w:drawing>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14cc7"/>
    <w:pPr>
      <w:widowControl/>
      <w:bidi w:val="0"/>
      <w:spacing w:lineRule="auto" w:line="240" w:before="0" w:after="0"/>
      <w:jc w:val="left"/>
    </w:pPr>
    <w:rPr>
      <w:rFonts w:ascii="Times New Roman" w:hAnsi="Times New Roman" w:eastAsia="Times New Roman" w:cs="Times New Roman"/>
      <w:color w:val="auto"/>
      <w:kern w:val="0"/>
      <w:sz w:val="24"/>
      <w:szCs w:val="24"/>
      <w:lang w:eastAsia="it-IT" w:val="it-IT" w:bidi="ar-SA"/>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link w:val="Intestazione"/>
    <w:uiPriority w:val="99"/>
    <w:qFormat/>
    <w:rsid w:val="00ae095f"/>
    <w:rPr/>
  </w:style>
  <w:style w:type="character" w:styleId="PidipaginaCarattere" w:customStyle="1">
    <w:name w:val="Piè di pagina Carattere"/>
    <w:basedOn w:val="DefaultParagraphFont"/>
    <w:link w:val="Pidipagina"/>
    <w:uiPriority w:val="99"/>
    <w:qFormat/>
    <w:rsid w:val="00ae095f"/>
    <w:rPr/>
  </w:style>
  <w:style w:type="character" w:styleId="CollegamentoInternet">
    <w:name w:val="Collegamento Internet"/>
    <w:basedOn w:val="DefaultParagraphFont"/>
    <w:uiPriority w:val="99"/>
    <w:unhideWhenUsed/>
    <w:rsid w:val="00ae095f"/>
    <w:rPr>
      <w:color w:val="0000FF"/>
      <w:u w:val="single"/>
    </w:rPr>
  </w:style>
  <w:style w:type="character" w:styleId="Il" w:customStyle="1">
    <w:name w:val="il"/>
    <w:basedOn w:val="DefaultParagraphFont"/>
    <w:qFormat/>
    <w:rsid w:val="000900de"/>
    <w:rPr/>
  </w:style>
  <w:style w:type="character" w:styleId="CollegamentoInternetvisitato">
    <w:name w:val="Collegamento Internet visitato"/>
    <w:basedOn w:val="DefaultParagraphFont"/>
    <w:uiPriority w:val="99"/>
    <w:semiHidden/>
    <w:unhideWhenUsed/>
    <w:rsid w:val="000900de"/>
    <w:rPr>
      <w:color w:val="954F72" w:themeColor="followedHyperlink"/>
      <w:u w:val="single"/>
    </w:rPr>
  </w:style>
  <w:style w:type="character" w:styleId="UnresolvedMention">
    <w:name w:val="Unresolved Mention"/>
    <w:basedOn w:val="DefaultParagraphFont"/>
    <w:uiPriority w:val="99"/>
    <w:semiHidden/>
    <w:unhideWhenUsed/>
    <w:qFormat/>
    <w:rsid w:val="000900de"/>
    <w:rPr>
      <w:color w:val="605E5C"/>
      <w:shd w:fill="E1DFDD" w:val="clear"/>
    </w:rPr>
  </w:style>
  <w:style w:type="character" w:styleId="Strong">
    <w:name w:val="Strong"/>
    <w:basedOn w:val="DefaultParagraphFont"/>
    <w:uiPriority w:val="22"/>
    <w:qFormat/>
    <w:rsid w:val="00b14e04"/>
    <w:rPr>
      <w:b/>
      <w:bCs/>
    </w:rPr>
  </w:style>
  <w:style w:type="character" w:styleId="Im" w:customStyle="1">
    <w:name w:val="im"/>
    <w:basedOn w:val="DefaultParagraphFont"/>
    <w:qFormat/>
    <w:rsid w:val="00a55c4b"/>
    <w:rPr/>
  </w:style>
  <w:style w:type="character" w:styleId="TestonotaapidipaginaCarattere" w:customStyle="1">
    <w:name w:val="Testo nota a piè di pagina Carattere"/>
    <w:basedOn w:val="DefaultParagraphFont"/>
    <w:link w:val="Testonotaapidipagina"/>
    <w:uiPriority w:val="99"/>
    <w:semiHidden/>
    <w:qFormat/>
    <w:rsid w:val="00ca6acf"/>
    <w:rPr>
      <w:rFonts w:ascii="Times New Roman" w:hAnsi="Times New Roman" w:eastAsia="Times New Roman" w:cs="Times New Roman"/>
      <w:sz w:val="20"/>
      <w:szCs w:val="20"/>
      <w:lang w:eastAsia="it-IT"/>
    </w:rPr>
  </w:style>
  <w:style w:type="character" w:styleId="Richiamoallanotaapidipagina">
    <w:name w:val="Richiamo alla nota a piè di pagina"/>
    <w:rPr>
      <w:vertAlign w:val="superscript"/>
    </w:rPr>
  </w:style>
  <w:style w:type="character" w:styleId="FootnoteCharacters">
    <w:name w:val="Footnote Characters"/>
    <w:basedOn w:val="DefaultParagraphFont"/>
    <w:uiPriority w:val="99"/>
    <w:semiHidden/>
    <w:unhideWhenUsed/>
    <w:qFormat/>
    <w:rsid w:val="00ca6acf"/>
    <w:rPr>
      <w:vertAlign w:val="superscript"/>
    </w:rPr>
  </w:style>
  <w:style w:type="paragraph" w:styleId="Titolo">
    <w:name w:val="Titolo"/>
    <w:basedOn w:val="Normal"/>
    <w:next w:val="Corpodeltesto"/>
    <w:qFormat/>
    <w:pPr>
      <w:keepNext w:val="true"/>
      <w:spacing w:before="240" w:after="120"/>
    </w:pPr>
    <w:rPr>
      <w:rFonts w:ascii="Liberation Sans" w:hAnsi="Liberation Sans" w:eastAsia="Noto Sans CJK SC" w:cs="Lohit Devanagari"/>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ohit Devanagari"/>
    </w:rPr>
  </w:style>
  <w:style w:type="paragraph" w:styleId="Didascalia">
    <w:name w:val="Caption"/>
    <w:basedOn w:val="Normal"/>
    <w:qFormat/>
    <w:pPr>
      <w:suppressLineNumbers/>
      <w:spacing w:before="120" w:after="120"/>
    </w:pPr>
    <w:rPr>
      <w:rFonts w:cs="Lohit Devanagari"/>
      <w:i/>
      <w:iCs/>
      <w:sz w:val="24"/>
      <w:szCs w:val="24"/>
    </w:rPr>
  </w:style>
  <w:style w:type="paragraph" w:styleId="Indice">
    <w:name w:val="Indice"/>
    <w:basedOn w:val="Normal"/>
    <w:qFormat/>
    <w:pPr>
      <w:suppressLineNumbers/>
    </w:pPr>
    <w:rPr>
      <w:rFonts w:cs="Lohit Devanagari"/>
    </w:rPr>
  </w:style>
  <w:style w:type="paragraph" w:styleId="Intestazioneepidipagina">
    <w:name w:val="Intestazione e piè di pagina"/>
    <w:basedOn w:val="Normal"/>
    <w:qFormat/>
    <w:pPr/>
    <w:rPr/>
  </w:style>
  <w:style w:type="paragraph" w:styleId="Intestazione">
    <w:name w:val="Header"/>
    <w:basedOn w:val="Normal"/>
    <w:link w:val="IntestazioneCarattere"/>
    <w:uiPriority w:val="99"/>
    <w:unhideWhenUsed/>
    <w:rsid w:val="00ae095f"/>
    <w:pPr>
      <w:tabs>
        <w:tab w:val="clear" w:pos="708"/>
        <w:tab w:val="center" w:pos="4819" w:leader="none"/>
        <w:tab w:val="right" w:pos="9638" w:leader="none"/>
      </w:tabs>
    </w:pPr>
    <w:rPr/>
  </w:style>
  <w:style w:type="paragraph" w:styleId="Pidipagina">
    <w:name w:val="Footer"/>
    <w:basedOn w:val="Normal"/>
    <w:link w:val="PidipaginaCarattere"/>
    <w:uiPriority w:val="99"/>
    <w:unhideWhenUsed/>
    <w:rsid w:val="00ae095f"/>
    <w:pPr>
      <w:tabs>
        <w:tab w:val="clear" w:pos="708"/>
        <w:tab w:val="center" w:pos="4819" w:leader="none"/>
        <w:tab w:val="right" w:pos="9638" w:leader="none"/>
      </w:tabs>
    </w:pPr>
    <w:rPr/>
  </w:style>
  <w:style w:type="paragraph" w:styleId="ListParagraph">
    <w:name w:val="List Paragraph"/>
    <w:qFormat/>
    <w:rsid w:val="005c5dc9"/>
    <w:pPr>
      <w:widowControl/>
      <w:pBdr/>
      <w:bidi w:val="0"/>
      <w:spacing w:lineRule="auto" w:line="240" w:before="0" w:after="0"/>
      <w:ind w:left="720" w:hanging="0"/>
      <w:jc w:val="left"/>
    </w:pPr>
    <w:rPr>
      <w:rFonts w:ascii="Calibri" w:hAnsi="Calibri" w:eastAsia="Calibri" w:cs="Calibri"/>
      <w:color w:val="000000"/>
      <w:kern w:val="0"/>
      <w:sz w:val="24"/>
      <w:szCs w:val="24"/>
      <w:u w:val="none" w:color="000000"/>
      <w:lang w:eastAsia="it-IT" w:val="it-IT" w:bidi="ar-SA"/>
    </w:rPr>
  </w:style>
  <w:style w:type="paragraph" w:styleId="NormalWeb">
    <w:name w:val="Normal (Web)"/>
    <w:basedOn w:val="Normal"/>
    <w:uiPriority w:val="99"/>
    <w:unhideWhenUsed/>
    <w:qFormat/>
    <w:rsid w:val="005c5dc9"/>
    <w:pPr>
      <w:spacing w:beforeAutospacing="1" w:afterAutospacing="1"/>
    </w:pPr>
    <w:rPr/>
  </w:style>
  <w:style w:type="paragraph" w:styleId="Notaapidipagina">
    <w:name w:val="Footnote Text"/>
    <w:basedOn w:val="Normal"/>
    <w:link w:val="TestonotaapidipaginaCarattere"/>
    <w:uiPriority w:val="99"/>
    <w:semiHidden/>
    <w:unhideWhenUsed/>
    <w:rsid w:val="00ca6acf"/>
    <w:pPr/>
    <w:rPr>
      <w:sz w:val="20"/>
      <w:szCs w:val="20"/>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bto.travel/" TargetMode="External"/><Relationship Id="rId3" Type="http://schemas.openxmlformats.org/officeDocument/2006/relationships/hyperlink" Target="mailto:press@chiarellopulitipartners.com" TargetMode="Externa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3.png"/>
</Relationships>
</file>

<file path=word/_rels/header1.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ED2B2-9B23-46EE-A990-D35428731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LibreOffice/6.4.7.2$Linux_X86_64 LibreOffice_project/40$Build-2</Application>
  <Pages>2</Pages>
  <Words>1906</Words>
  <Characters>11381</Characters>
  <CharactersWithSpaces>13284</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2023-11-13T09:18:00Z</dcterms:created>
  <dc:creator>francesca puliti</dc:creator>
  <dc:description/>
  <dc:language>it-IT</dc:language>
  <cp:lastModifiedBy>Mariangela Della Monica</cp:lastModifiedBy>
  <cp:lastPrinted>2023-10-05T14:10:00Z</cp:lastPrinted>
  <dcterms:modified xsi:type="dcterms:W3CDTF">2023-11-13T09:18:00Z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