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1701" w:hanging="0"/>
        <w:jc w:val="center"/>
        <w:rPr>
          <w:b/>
          <w:b/>
          <w:bCs/>
        </w:rPr>
      </w:pPr>
      <w:r>
        <w:rPr>
          <w:b/>
          <w:bCs/>
        </w:rPr>
        <w:t xml:space="preserve">Accordo di Covendita tra Regione Toscana e banche azioniste </w:t>
      </w:r>
    </w:p>
    <w:p>
      <w:pPr>
        <w:pStyle w:val="Normal"/>
        <w:bidi w:val="0"/>
        <w:ind w:left="0" w:right="1701" w:hanging="0"/>
        <w:jc w:val="center"/>
        <w:rPr>
          <w:b/>
          <w:b/>
          <w:bCs/>
        </w:rPr>
      </w:pPr>
      <w:r>
        <w:rPr>
          <w:b/>
          <w:bCs/>
        </w:rPr>
        <w:t>per la cessione del pacchetto di maggioranza di Fidi Toscana Spa</w:t>
      </w:r>
    </w:p>
    <w:p>
      <w:pPr>
        <w:pStyle w:val="Normal"/>
        <w:bidi w:val="0"/>
        <w:ind w:left="0" w:right="1701" w:hanging="0"/>
        <w:jc w:val="center"/>
        <w:rPr>
          <w:b/>
          <w:b/>
          <w:bCs/>
        </w:rPr>
      </w:pPr>
      <w:r>
        <w:rPr>
          <w:b/>
          <w:bCs/>
        </w:rPr>
      </w:r>
    </w:p>
    <w:p>
      <w:pPr>
        <w:pStyle w:val="Normal"/>
        <w:bidi w:val="0"/>
        <w:ind w:left="0" w:right="1701" w:hanging="0"/>
        <w:jc w:val="left"/>
        <w:rPr/>
      </w:pPr>
      <w:r>
        <w:rPr/>
        <w:t>L'accordo è stato sottoscritto nel mese di settembre tra Regione Toscana e Banca Monte dei Paschi di Siena, Intesa Sanpaolo, Banca Nazionale del Lavoro, Banco BPM, Credit Agricole Italia, BPER Banca, Banca Popolare di Vicenza, Banca Popolare di Cortona, Banca Popolare Etica, Confindustria Toscana, Ance Toscana.</w:t>
      </w:r>
    </w:p>
    <w:p>
      <w:pPr>
        <w:pStyle w:val="Normal"/>
        <w:bidi w:val="0"/>
        <w:ind w:left="0" w:right="1701" w:hanging="0"/>
        <w:jc w:val="left"/>
        <w:rPr/>
      </w:pPr>
      <w:r>
        <w:rPr/>
      </w:r>
    </w:p>
    <w:p>
      <w:pPr>
        <w:pStyle w:val="Normal"/>
        <w:bidi w:val="0"/>
        <w:ind w:left="0" w:right="1701" w:hanging="0"/>
        <w:jc w:val="left"/>
        <w:rPr/>
      </w:pPr>
      <w:r>
        <w:rPr/>
        <w:t>Esso prevede che Regione Regione Toscana, che detiene il 49,4% delle quote, ceda circa il 14% (14,4091%).</w:t>
      </w:r>
    </w:p>
    <w:p>
      <w:pPr>
        <w:pStyle w:val="Normal"/>
        <w:bidi w:val="0"/>
        <w:ind w:left="0" w:right="1701" w:hanging="0"/>
        <w:jc w:val="left"/>
        <w:rPr/>
      </w:pPr>
      <w:r>
        <w:rPr/>
        <w:t>I soci privati invece acconsentono alla cessione totale delle proprie quote che corrispondono a oltre il 48% (48,4146%).</w:t>
      </w:r>
    </w:p>
    <w:p>
      <w:pPr>
        <w:pStyle w:val="Normal"/>
        <w:bidi w:val="0"/>
        <w:ind w:left="0" w:right="1701" w:hanging="0"/>
        <w:jc w:val="left"/>
        <w:rPr/>
      </w:pPr>
      <w:r>
        <w:rPr/>
        <w:t>Il Pacchetto di Maggioranza complessivamente messo in vendita ammonta dunque al 62,8237%.</w:t>
      </w:r>
    </w:p>
    <w:p>
      <w:pPr>
        <w:pStyle w:val="Normal"/>
        <w:bidi w:val="0"/>
        <w:ind w:left="0" w:right="1701" w:hanging="0"/>
        <w:jc w:val="left"/>
        <w:rPr/>
      </w:pPr>
      <w:r>
        <w:rPr/>
      </w:r>
    </w:p>
    <w:p>
      <w:pPr>
        <w:pStyle w:val="Normal"/>
        <w:bidi w:val="0"/>
        <w:ind w:left="0" w:right="1701" w:hanging="0"/>
        <w:jc w:val="left"/>
        <w:rPr/>
      </w:pPr>
      <w:r>
        <w:rPr/>
        <w:t>Nel dettaglio:</w:t>
      </w:r>
    </w:p>
    <w:p>
      <w:pPr>
        <w:pStyle w:val="Normal"/>
        <w:bidi w:val="0"/>
        <w:ind w:left="0" w:right="1701" w:hanging="0"/>
        <w:jc w:val="left"/>
        <w:rPr/>
      </w:pPr>
      <w:r>
        <w:rPr/>
        <w:t xml:space="preserve">    • </w:t>
      </w:r>
      <w:r>
        <w:rPr/>
        <w:t>14,4091% del capitale sociale detenuto dalla Regione Toscana</w:t>
      </w:r>
    </w:p>
    <w:p>
      <w:pPr>
        <w:pStyle w:val="Normal"/>
        <w:bidi w:val="0"/>
        <w:ind w:left="0" w:right="1701" w:hanging="0"/>
        <w:jc w:val="left"/>
        <w:rPr/>
      </w:pPr>
      <w:r>
        <w:rPr/>
        <w:t xml:space="preserve">    • </w:t>
      </w:r>
      <w:r>
        <w:rPr/>
        <w:t>27,4595% detenuto da Banca Monte dei Paschi di Siena S.p.A.</w:t>
      </w:r>
    </w:p>
    <w:p>
      <w:pPr>
        <w:pStyle w:val="Normal"/>
        <w:bidi w:val="0"/>
        <w:ind w:left="0" w:right="1701" w:hanging="0"/>
        <w:jc w:val="left"/>
        <w:rPr/>
      </w:pPr>
      <w:r>
        <w:rPr/>
        <w:t xml:space="preserve">    • </w:t>
      </w:r>
      <w:r>
        <w:rPr/>
        <w:t>11,0242% detenuto da Intesa San Paolo S.p.A.</w:t>
      </w:r>
    </w:p>
    <w:p>
      <w:pPr>
        <w:pStyle w:val="Normal"/>
        <w:bidi w:val="0"/>
        <w:ind w:left="0" w:right="1701" w:hanging="0"/>
        <w:jc w:val="left"/>
        <w:rPr/>
      </w:pPr>
      <w:r>
        <w:rPr/>
        <w:t xml:space="preserve">    • </w:t>
      </w:r>
      <w:r>
        <w:rPr/>
        <w:t>3,9177% detenuto da Banca Nazionale del Lavoro S.p.A.</w:t>
      </w:r>
    </w:p>
    <w:p>
      <w:pPr>
        <w:pStyle w:val="Normal"/>
        <w:bidi w:val="0"/>
        <w:ind w:left="0" w:right="1701" w:hanging="0"/>
        <w:jc w:val="left"/>
        <w:rPr/>
      </w:pPr>
      <w:r>
        <w:rPr/>
        <w:t xml:space="preserve">    • </w:t>
      </w:r>
      <w:r>
        <w:rPr/>
        <w:t>1,7713% detenuto da Banco BPM S.p.A.</w:t>
      </w:r>
    </w:p>
    <w:p>
      <w:pPr>
        <w:pStyle w:val="Normal"/>
        <w:bidi w:val="0"/>
        <w:ind w:left="0" w:right="1701" w:hanging="0"/>
        <w:jc w:val="left"/>
        <w:rPr/>
      </w:pPr>
      <w:r>
        <w:rPr/>
        <w:t xml:space="preserve">    • </w:t>
      </w:r>
      <w:r>
        <w:rPr/>
        <w:t>1,7330% detenuto da Credit Agricole Italia S.p.A.</w:t>
      </w:r>
    </w:p>
    <w:p>
      <w:pPr>
        <w:pStyle w:val="Normal"/>
        <w:bidi w:val="0"/>
        <w:ind w:left="0" w:right="1701" w:hanging="0"/>
        <w:jc w:val="left"/>
        <w:rPr/>
      </w:pPr>
      <w:r>
        <w:rPr/>
        <w:t xml:space="preserve">    • </w:t>
      </w:r>
      <w:r>
        <w:rPr/>
        <w:t xml:space="preserve">1,4258% detenuto da BPER Banca S.p.A. (comprese le ex quote di Banca </w:t>
        <w:tab/>
        <w:t>Carige e della Banca del Monte di Lucca)</w:t>
      </w:r>
    </w:p>
    <w:p>
      <w:pPr>
        <w:pStyle w:val="Normal"/>
        <w:bidi w:val="0"/>
        <w:ind w:left="0" w:right="1701" w:hanging="0"/>
        <w:jc w:val="left"/>
        <w:rPr/>
      </w:pPr>
      <w:r>
        <w:rPr/>
        <w:t xml:space="preserve">    • </w:t>
      </w:r>
      <w:r>
        <w:rPr/>
        <w:t xml:space="preserve">0,9814% detenuto da Banca Popolare Vicenza S.p.A. in Liquidazione Coatta </w:t>
        <w:tab/>
        <w:t>Amministrativa</w:t>
      </w:r>
    </w:p>
    <w:p>
      <w:pPr>
        <w:pStyle w:val="Normal"/>
        <w:bidi w:val="0"/>
        <w:ind w:left="0" w:right="1701" w:hanging="0"/>
        <w:jc w:val="left"/>
        <w:rPr/>
      </w:pPr>
      <w:r>
        <w:rPr/>
        <w:t xml:space="preserve">    • </w:t>
      </w:r>
      <w:r>
        <w:rPr/>
        <w:t>0,0735% detenuto da Banca Popolare di Cortona S.c.p.A.</w:t>
      </w:r>
    </w:p>
    <w:p>
      <w:pPr>
        <w:pStyle w:val="Normal"/>
        <w:bidi w:val="0"/>
        <w:ind w:left="0" w:right="1701" w:hanging="0"/>
        <w:jc w:val="left"/>
        <w:rPr/>
      </w:pPr>
      <w:r>
        <w:rPr/>
        <w:t xml:space="preserve">    • </w:t>
      </w:r>
      <w:r>
        <w:rPr/>
        <w:t>0,0187% detenuto da Banca Etica S.c.p.A.</w:t>
      </w:r>
    </w:p>
    <w:p>
      <w:pPr>
        <w:pStyle w:val="Normal"/>
        <w:bidi w:val="0"/>
        <w:ind w:left="0" w:right="1701" w:hanging="0"/>
        <w:jc w:val="left"/>
        <w:rPr/>
      </w:pPr>
      <w:r>
        <w:rPr/>
        <w:t xml:space="preserve">    • </w:t>
      </w:r>
      <w:r>
        <w:rPr/>
        <w:t>0,0065% detenuto da Confindustria Toscana</w:t>
      </w:r>
    </w:p>
    <w:p>
      <w:pPr>
        <w:pStyle w:val="Normal"/>
        <w:bidi w:val="0"/>
        <w:ind w:left="0" w:right="1701" w:hanging="0"/>
        <w:jc w:val="left"/>
        <w:rPr/>
      </w:pPr>
      <w:r>
        <w:rPr/>
        <w:t xml:space="preserve">    • </w:t>
      </w:r>
      <w:r>
        <w:rPr/>
        <w:t>0,0031% detenuto da ANCE Toscana</w:t>
      </w:r>
    </w:p>
    <w:p>
      <w:pPr>
        <w:pStyle w:val="Normal"/>
        <w:bidi w:val="0"/>
        <w:ind w:left="0" w:right="1701" w:hanging="0"/>
        <w:jc w:val="left"/>
        <w:rPr/>
      </w:pPr>
      <w:r>
        <w:rPr/>
      </w:r>
    </w:p>
    <w:p>
      <w:pPr>
        <w:pStyle w:val="Normal"/>
        <w:bidi w:val="0"/>
        <w:ind w:left="0" w:right="1701" w:hanging="0"/>
        <w:jc w:val="left"/>
        <w:rPr/>
      </w:pPr>
      <w:r>
        <w:rPr/>
        <w:t xml:space="preserve">Il </w:t>
      </w:r>
      <w:r>
        <w:rPr>
          <w:u w:val="single"/>
        </w:rPr>
        <w:t>valore individuato per la vendita di ogni singola azione</w:t>
      </w:r>
      <w:r>
        <w:rPr/>
        <w:t xml:space="preserve"> è stato fissato a </w:t>
      </w:r>
      <w:r>
        <w:rPr>
          <w:b/>
          <w:bCs/>
        </w:rPr>
        <w:t>18,43 euro</w:t>
      </w:r>
      <w:r>
        <w:rPr/>
        <w:t>.</w:t>
      </w:r>
    </w:p>
    <w:p>
      <w:pPr>
        <w:pStyle w:val="Normal"/>
        <w:bidi w:val="0"/>
        <w:ind w:left="0" w:right="1701" w:hanging="0"/>
        <w:jc w:val="left"/>
        <w:rPr/>
      </w:pPr>
      <w:r>
        <w:rPr/>
      </w:r>
    </w:p>
    <w:p>
      <w:pPr>
        <w:pStyle w:val="Normal"/>
        <w:bidi w:val="0"/>
        <w:ind w:left="0" w:right="1701" w:hanging="0"/>
        <w:jc w:val="left"/>
        <w:rPr/>
      </w:pPr>
      <w:r>
        <w:rPr/>
        <w:t xml:space="preserve">Il </w:t>
      </w:r>
      <w:r>
        <w:rPr>
          <w:u w:val="single"/>
        </w:rPr>
        <w:t>Valore a Base d’Asta</w:t>
      </w:r>
      <w:r>
        <w:rPr/>
        <w:t xml:space="preserve"> è stato quindi determinato in </w:t>
      </w:r>
      <w:r>
        <w:rPr>
          <w:b/>
          <w:bCs/>
        </w:rPr>
        <w:t>35.669.412,00</w:t>
      </w:r>
      <w:r>
        <w:rPr/>
        <w:t xml:space="preserve"> euro riferito al 62,8237% del capitale societario</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LibreOffice/6.4.7.2$Linux_X86_64 LibreOffice_project/40$Build-2</Application>
  <Pages>1</Pages>
  <Words>262</Words>
  <Characters>1416</Characters>
  <CharactersWithSpaces>1708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2023-11-14T16:58:49Z</dcterms:created>
  <dc:creator/>
  <dc:description/>
  <dc:language>it-IT</dc:language>
  <cp:lastModifiedBy/>
  <dcterms:modified xsi:type="dcterms:W3CDTF">2023-11-14T17:06:52Z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